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4BDC" w:rsidRDefault="00AD16E1">
      <w:pPr>
        <w:pStyle w:val="Titre"/>
      </w:pPr>
      <w:r>
        <w:t>CE1D langues modernes 2021</w:t>
      </w:r>
      <w:r>
        <w:br/>
        <w:t>Fiche d’information pour l’enseignant</w:t>
      </w:r>
    </w:p>
    <w:p w:rsidR="00224BDC" w:rsidRDefault="00AD16E1">
      <w:pPr>
        <w:pStyle w:val="Titre1"/>
        <w:rPr>
          <w:lang w:val="fr-BE"/>
        </w:rPr>
      </w:pPr>
      <w:r>
        <w:rPr>
          <w:lang w:val="fr-BE"/>
        </w:rPr>
        <w:t>Dispositions spécifiques liées à la crise sanitaire</w:t>
      </w:r>
    </w:p>
    <w:p w:rsidR="00224BDC" w:rsidRDefault="00AD16E1">
      <w:pPr>
        <w:rPr>
          <w:b/>
          <w:lang w:val="fr-BE"/>
        </w:rPr>
      </w:pPr>
      <w:r>
        <w:rPr>
          <w:lang w:val="fr-BE"/>
        </w:rPr>
        <w:t xml:space="preserve">Plusieurs actions visant à éviter que la situation découlant de la </w:t>
      </w:r>
      <w:r>
        <w:rPr>
          <w:lang w:val="fr-BE"/>
        </w:rPr>
        <w:t>crise sanitaire ne pénalise davantage les élèves ont été menées :</w:t>
      </w:r>
    </w:p>
    <w:p w:rsidR="00224BDC" w:rsidRDefault="00AD16E1">
      <w:pPr>
        <w:pStyle w:val="Paragraphedeliste"/>
        <w:numPr>
          <w:ilvl w:val="0"/>
          <w:numId w:val="21"/>
        </w:numPr>
        <w:rPr>
          <w:lang w:val="fr-BE" w:eastAsia="fr-BE"/>
        </w:rPr>
      </w:pPr>
      <w:r>
        <w:rPr>
          <w:lang w:val="fr-BE"/>
        </w:rPr>
        <w:t>Premièrement, l</w:t>
      </w:r>
      <w:r>
        <w:rPr>
          <w:lang w:val="fr-BE" w:eastAsia="fr-BE"/>
        </w:rPr>
        <w:t>e Service général de l’Inspection a travaillé, en collaboration avec la Direction des Standards éducatifs et des Évaluations, à identifier les essentiels parmi les savoirs, sa</w:t>
      </w:r>
      <w:r>
        <w:rPr>
          <w:lang w:val="fr-BE" w:eastAsia="fr-BE"/>
        </w:rPr>
        <w:t>voir-faire et compétences définis dans les référentiels actuellement en vigueur. Ce travail a été effectué en veillant à la cohérence des essentiels sélectionnés avec les épreuves externes certificatives. Ce document a été communiqué aux écoles en début d’</w:t>
      </w:r>
      <w:r>
        <w:rPr>
          <w:lang w:val="fr-BE" w:eastAsia="fr-BE"/>
        </w:rPr>
        <w:t xml:space="preserve">année scolaire. Une version de ce document remis à jour au niveau de la forme est disponible sur enseignement.be : </w:t>
      </w:r>
      <w:hyperlink r:id="rId8" w:history="1">
        <w:r>
          <w:rPr>
            <w:rStyle w:val="Lienhypertexte"/>
            <w:lang w:val="fr-BE"/>
          </w:rPr>
          <w:t>http://enseignement.be/download.php?do_id=15922</w:t>
        </w:r>
      </w:hyperlink>
      <w:r>
        <w:rPr>
          <w:lang w:val="fr-BE" w:eastAsia="fr-BE"/>
        </w:rPr>
        <w:t>.</w:t>
      </w:r>
    </w:p>
    <w:p w:rsidR="00224BDC" w:rsidRDefault="00AD16E1">
      <w:pPr>
        <w:pStyle w:val="Paragraphedeliste"/>
        <w:numPr>
          <w:ilvl w:val="0"/>
          <w:numId w:val="21"/>
        </w:numPr>
        <w:rPr>
          <w:lang w:val="fr-BE" w:eastAsia="fr-BE"/>
        </w:rPr>
      </w:pPr>
      <w:r>
        <w:rPr>
          <w:lang w:val="fr-BE" w:eastAsia="fr-BE"/>
        </w:rPr>
        <w:t>Deuxièmement, des informatio</w:t>
      </w:r>
      <w:r>
        <w:rPr>
          <w:lang w:val="fr-BE" w:eastAsia="fr-BE"/>
        </w:rPr>
        <w:t xml:space="preserve">ns au sujet des épreuves 2021 sont communiquées dans la présente fiche afin de vous permettre de préparer les élèves au mieux. </w:t>
      </w:r>
    </w:p>
    <w:p w:rsidR="00224BDC" w:rsidRDefault="00AD16E1">
      <w:pPr>
        <w:pStyle w:val="Paragraphedeliste"/>
        <w:numPr>
          <w:ilvl w:val="0"/>
          <w:numId w:val="21"/>
        </w:numPr>
        <w:rPr>
          <w:lang w:val="fr-BE" w:eastAsia="fr-BE"/>
        </w:rPr>
      </w:pPr>
      <w:r>
        <w:rPr>
          <w:lang w:val="fr-BE" w:eastAsia="fr-BE"/>
        </w:rPr>
        <w:t xml:space="preserve">Enfin, dans le cas où, en raison de la situation sanitaire, tous les essentiels n’auraient pas pu être enseignés, une procédure </w:t>
      </w:r>
      <w:r>
        <w:rPr>
          <w:lang w:val="fr-BE" w:eastAsia="fr-BE"/>
        </w:rPr>
        <w:t>est mise en place cette année pour aider le conseil de classe à prendre sa décision (cf. circulaire point B.5. pour le CE1D).</w:t>
      </w:r>
    </w:p>
    <w:p w:rsidR="00224BDC" w:rsidRDefault="00AD16E1">
      <w:pPr>
        <w:rPr>
          <w:highlight w:val="yellow"/>
          <w:lang w:val="fr-BE"/>
        </w:rPr>
      </w:pPr>
      <w:r>
        <w:rPr>
          <w:lang w:val="fr-BE"/>
        </w:rPr>
        <w:t xml:space="preserve">Par ailleurs, l’annulation des épreuves de juin 2020 ayant été actée après l’impression de l’ensemble des documents à destination </w:t>
      </w:r>
      <w:r>
        <w:rPr>
          <w:lang w:val="fr-BE"/>
        </w:rPr>
        <w:t>des élèves</w:t>
      </w:r>
      <w:r>
        <w:t>, la possibilité d'utiliser l'épreuve de juin 2020 en 2021 a été étudiée. Après vérification par les concepteurs de l'épreuve de sa conformité avec les essentiels, il a été décidé, par souci écologique et économique, de conserver l’ensemble de ce</w:t>
      </w:r>
      <w:r>
        <w:t>s documents en vue d’une utilisation en juin 2021.</w:t>
      </w:r>
      <w:r>
        <w:rPr>
          <w:lang w:val="fr-BE"/>
        </w:rPr>
        <w:t xml:space="preserve"> En conséquence directe de cette décision, les livrets, portefeuilles de documents et CD des épreuves de juin 2021 seront estampillés « CE1D 2020 ». Ceci n’est pas une erreur. Nous vous invitons à rassurer </w:t>
      </w:r>
      <w:r>
        <w:rPr>
          <w:lang w:val="fr-BE"/>
        </w:rPr>
        <w:t>les élèves à ce propos.</w:t>
      </w:r>
    </w:p>
    <w:p w:rsidR="00224BDC" w:rsidRDefault="00AD16E1">
      <w:pPr>
        <w:rPr>
          <w:b/>
          <w:highlight w:val="yellow"/>
          <w:lang w:val="fr-BE"/>
        </w:rPr>
      </w:pPr>
      <w:r>
        <w:rPr>
          <w:lang w:val="fr-BE"/>
        </w:rPr>
        <w:t>Nul ne peut, à ce stade, prédire avec certitude l’évolution de la situation sanitaire et les éventuelles nouvelles incidences de celle-ci sur l’organisation des épreuves externes communes certificatives de juin 2021. Les modificatio</w:t>
      </w:r>
      <w:r>
        <w:rPr>
          <w:lang w:val="fr-BE"/>
        </w:rPr>
        <w:t>ns sensibles liées à cette organisation, s’il doit y en avoir au cours des prochains mois, feront l’objet de nouvelles circulaires.</w:t>
      </w:r>
    </w:p>
    <w:p w:rsidR="00AD16E1" w:rsidRDefault="00AD16E1" w:rsidP="00AD16E1">
      <w:pPr>
        <w:jc w:val="left"/>
      </w:pPr>
      <w:r>
        <w:t>Une FAQ par épreuve est disponible afin de répondre aux questions les plus fréquemment posées par les parents et les élèves. Elle est consultable sur enseignement.be à l’adresse suivante :</w:t>
      </w:r>
    </w:p>
    <w:p w:rsidR="00224BDC" w:rsidRDefault="00AD16E1" w:rsidP="00AD16E1">
      <w:pPr>
        <w:rPr>
          <w:b/>
          <w:highlight w:val="yellow"/>
          <w:lang w:val="fr-BE"/>
        </w:rPr>
      </w:pPr>
      <w:hyperlink r:id="rId9" w:history="1">
        <w:r>
          <w:rPr>
            <w:rStyle w:val="Lienhypertexte"/>
          </w:rPr>
          <w:t>http://enseignement.be/index.php?page=28025&amp;navi=4500</w:t>
        </w:r>
      </w:hyperlink>
      <w:bookmarkStart w:id="0" w:name="_GoBack"/>
      <w:bookmarkEnd w:id="0"/>
    </w:p>
    <w:p w:rsidR="00224BDC" w:rsidRDefault="00AD16E1">
      <w:pPr>
        <w:spacing w:after="0" w:line="240" w:lineRule="auto"/>
        <w:jc w:val="left"/>
      </w:pPr>
      <w:r>
        <w:br w:type="page"/>
      </w:r>
    </w:p>
    <w:p w:rsidR="00224BDC" w:rsidRDefault="00AD16E1">
      <w:pPr>
        <w:pStyle w:val="Titre1"/>
        <w:rPr>
          <w:lang w:val="fr-BE"/>
        </w:rPr>
      </w:pPr>
      <w:r>
        <w:rPr>
          <w:lang w:val="fr-BE"/>
        </w:rPr>
        <w:lastRenderedPageBreak/>
        <w:t>Organisation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964"/>
        <w:gridCol w:w="1800"/>
        <w:gridCol w:w="1639"/>
        <w:gridCol w:w="1981"/>
        <w:gridCol w:w="1654"/>
      </w:tblGrid>
      <w:tr w:rsidR="00224BDC">
        <w:trPr>
          <w:trHeight w:val="454"/>
          <w:jc w:val="center"/>
        </w:trPr>
        <w:tc>
          <w:tcPr>
            <w:tcW w:w="1951" w:type="dxa"/>
            <w:gridSpan w:val="2"/>
            <w:tcBorders>
              <w:top w:val="nil"/>
              <w:left w:val="nil"/>
              <w:bottom w:val="single" w:sz="8" w:space="0" w:color="auto"/>
              <w:right w:val="single" w:sz="12" w:space="0" w:color="auto"/>
            </w:tcBorders>
            <w:shd w:val="clear" w:color="auto" w:fill="auto"/>
          </w:tcPr>
          <w:p w:rsidR="00224BDC" w:rsidRDefault="00224BDC">
            <w:pPr>
              <w:jc w:val="center"/>
              <w:rPr>
                <w:rFonts w:eastAsia="Calibri" w:cs="Calibri"/>
                <w:b/>
                <w:szCs w:val="22"/>
                <w:highlight w:val="yellow"/>
                <w:lang w:val="fr-BE" w:eastAsia="en-US"/>
              </w:rPr>
            </w:pPr>
          </w:p>
        </w:tc>
        <w:tc>
          <w:tcPr>
            <w:tcW w:w="1800" w:type="dxa"/>
            <w:tcBorders>
              <w:top w:val="single" w:sz="8" w:space="0" w:color="auto"/>
              <w:left w:val="single" w:sz="12" w:space="0" w:color="auto"/>
              <w:bottom w:val="single" w:sz="8" w:space="0" w:color="auto"/>
              <w:right w:val="single" w:sz="8" w:space="0" w:color="auto"/>
            </w:tcBorders>
            <w:shd w:val="clear" w:color="auto" w:fill="808080"/>
            <w:vAlign w:val="center"/>
          </w:tcPr>
          <w:p w:rsidR="00224BDC" w:rsidRDefault="00AD16E1">
            <w:pPr>
              <w:jc w:val="center"/>
              <w:rPr>
                <w:rFonts w:eastAsia="Calibri" w:cs="Calibri"/>
                <w:b/>
                <w:color w:val="FFFFFF"/>
                <w:szCs w:val="22"/>
                <w:lang w:val="fr-BE" w:eastAsia="en-US"/>
              </w:rPr>
            </w:pPr>
            <w:r>
              <w:rPr>
                <w:rFonts w:eastAsia="Calibri" w:cs="Calibri"/>
                <w:b/>
                <w:color w:val="FFFFFF"/>
                <w:szCs w:val="22"/>
                <w:lang w:val="fr-BE" w:eastAsia="en-US"/>
              </w:rPr>
              <w:t>Mercredi 16/6</w:t>
            </w:r>
          </w:p>
        </w:tc>
        <w:tc>
          <w:tcPr>
            <w:tcW w:w="1639" w:type="dxa"/>
            <w:tcBorders>
              <w:top w:val="single" w:sz="8" w:space="0" w:color="auto"/>
              <w:left w:val="single" w:sz="8" w:space="0" w:color="auto"/>
              <w:bottom w:val="single" w:sz="8" w:space="0" w:color="auto"/>
              <w:right w:val="single" w:sz="8" w:space="0" w:color="auto"/>
            </w:tcBorders>
            <w:shd w:val="clear" w:color="auto" w:fill="808080"/>
            <w:vAlign w:val="center"/>
          </w:tcPr>
          <w:p w:rsidR="00224BDC" w:rsidRDefault="00AD16E1">
            <w:pPr>
              <w:jc w:val="center"/>
              <w:rPr>
                <w:rFonts w:eastAsia="Calibri" w:cs="Calibri"/>
                <w:b/>
                <w:color w:val="FFFFFF"/>
                <w:szCs w:val="22"/>
                <w:lang w:val="fr-BE" w:eastAsia="en-US"/>
              </w:rPr>
            </w:pPr>
            <w:r>
              <w:rPr>
                <w:rFonts w:eastAsia="Calibri" w:cs="Calibri"/>
                <w:b/>
                <w:color w:val="FFFFFF"/>
                <w:szCs w:val="22"/>
                <w:lang w:val="fr-BE" w:eastAsia="en-US"/>
              </w:rPr>
              <w:t>Jeudi 17/6</w:t>
            </w:r>
          </w:p>
        </w:tc>
        <w:tc>
          <w:tcPr>
            <w:tcW w:w="1981" w:type="dxa"/>
            <w:tcBorders>
              <w:top w:val="single" w:sz="8" w:space="0" w:color="auto"/>
              <w:left w:val="single" w:sz="8" w:space="0" w:color="auto"/>
              <w:bottom w:val="single" w:sz="8" w:space="0" w:color="auto"/>
              <w:right w:val="single" w:sz="8" w:space="0" w:color="auto"/>
            </w:tcBorders>
            <w:shd w:val="clear" w:color="auto" w:fill="808080"/>
            <w:vAlign w:val="center"/>
          </w:tcPr>
          <w:p w:rsidR="00224BDC" w:rsidRDefault="00AD16E1">
            <w:pPr>
              <w:jc w:val="center"/>
              <w:rPr>
                <w:rFonts w:eastAsia="Calibri" w:cs="Calibri"/>
                <w:b/>
                <w:color w:val="FFFFFF"/>
                <w:szCs w:val="22"/>
                <w:lang w:val="fr-BE" w:eastAsia="en-US"/>
              </w:rPr>
            </w:pPr>
            <w:r>
              <w:rPr>
                <w:rFonts w:eastAsia="Calibri" w:cs="Calibri"/>
                <w:b/>
                <w:color w:val="FFFFFF"/>
                <w:szCs w:val="22"/>
                <w:lang w:val="fr-BE" w:eastAsia="en-US"/>
              </w:rPr>
              <w:t>Vendredi 18/6</w:t>
            </w:r>
          </w:p>
        </w:tc>
        <w:tc>
          <w:tcPr>
            <w:tcW w:w="1654" w:type="dxa"/>
            <w:tcBorders>
              <w:top w:val="single" w:sz="8" w:space="0" w:color="auto"/>
              <w:left w:val="single" w:sz="8" w:space="0" w:color="auto"/>
              <w:bottom w:val="single" w:sz="8" w:space="0" w:color="auto"/>
            </w:tcBorders>
            <w:shd w:val="clear" w:color="auto" w:fill="808080"/>
            <w:vAlign w:val="center"/>
          </w:tcPr>
          <w:p w:rsidR="00224BDC" w:rsidRDefault="00AD16E1">
            <w:pPr>
              <w:jc w:val="center"/>
              <w:rPr>
                <w:rFonts w:eastAsia="Calibri" w:cs="Calibri"/>
                <w:b/>
                <w:color w:val="FFFFFF"/>
                <w:szCs w:val="22"/>
                <w:lang w:val="fr-BE" w:eastAsia="en-US"/>
              </w:rPr>
            </w:pPr>
            <w:r>
              <w:rPr>
                <w:rFonts w:eastAsia="Calibri" w:cs="Calibri"/>
                <w:b/>
                <w:color w:val="FFFFFF"/>
                <w:szCs w:val="22"/>
                <w:lang w:val="fr-BE" w:eastAsia="en-US"/>
              </w:rPr>
              <w:t>Lundi 21/6</w:t>
            </w:r>
          </w:p>
        </w:tc>
      </w:tr>
      <w:tr w:rsidR="00224BDC">
        <w:trPr>
          <w:trHeight w:val="454"/>
          <w:jc w:val="center"/>
        </w:trPr>
        <w:tc>
          <w:tcPr>
            <w:tcW w:w="987" w:type="dxa"/>
            <w:vMerge w:val="restart"/>
            <w:tcBorders>
              <w:top w:val="single" w:sz="8" w:space="0" w:color="auto"/>
              <w:left w:val="single" w:sz="8" w:space="0" w:color="auto"/>
              <w:bottom w:val="single" w:sz="12" w:space="0" w:color="auto"/>
              <w:right w:val="single" w:sz="8" w:space="0" w:color="auto"/>
            </w:tcBorders>
            <w:shd w:val="clear" w:color="auto" w:fill="auto"/>
            <w:vAlign w:val="center"/>
          </w:tcPr>
          <w:p w:rsidR="00224BDC" w:rsidRDefault="00AD16E1">
            <w:pPr>
              <w:jc w:val="center"/>
              <w:rPr>
                <w:rFonts w:eastAsia="Calibri" w:cs="Calibri"/>
                <w:b/>
                <w:szCs w:val="22"/>
                <w:lang w:val="fr-BE" w:eastAsia="en-US"/>
              </w:rPr>
            </w:pPr>
            <w:r>
              <w:rPr>
                <w:rFonts w:eastAsia="Calibri" w:cs="Calibri"/>
                <w:b/>
                <w:szCs w:val="22"/>
                <w:lang w:val="fr-BE" w:eastAsia="en-US"/>
              </w:rPr>
              <w:t>Matinée</w:t>
            </w:r>
          </w:p>
        </w:tc>
        <w:tc>
          <w:tcPr>
            <w:tcW w:w="964" w:type="dxa"/>
            <w:tcBorders>
              <w:top w:val="single" w:sz="8" w:space="0" w:color="auto"/>
              <w:left w:val="single" w:sz="8" w:space="0" w:color="auto"/>
              <w:bottom w:val="single" w:sz="8" w:space="0" w:color="auto"/>
              <w:right w:val="single" w:sz="8" w:space="0" w:color="auto"/>
            </w:tcBorders>
            <w:shd w:val="clear" w:color="auto" w:fill="auto"/>
            <w:vAlign w:val="center"/>
          </w:tcPr>
          <w:p w:rsidR="00224BDC" w:rsidRDefault="00AD16E1">
            <w:pPr>
              <w:jc w:val="center"/>
              <w:rPr>
                <w:rFonts w:eastAsia="Calibri" w:cs="Calibri"/>
                <w:b/>
                <w:szCs w:val="22"/>
                <w:lang w:val="fr-BE" w:eastAsia="en-US"/>
              </w:rPr>
            </w:pPr>
            <w:r>
              <w:rPr>
                <w:rFonts w:eastAsia="Calibri" w:cs="Calibri"/>
                <w:b/>
                <w:szCs w:val="22"/>
                <w:lang w:val="fr-BE" w:eastAsia="en-US"/>
              </w:rPr>
              <w:t>50 min</w:t>
            </w:r>
          </w:p>
        </w:tc>
        <w:tc>
          <w:tcPr>
            <w:tcW w:w="1800" w:type="dxa"/>
            <w:vMerge w:val="restart"/>
            <w:tcBorders>
              <w:top w:val="single" w:sz="8" w:space="0" w:color="auto"/>
              <w:left w:val="single" w:sz="8" w:space="0" w:color="auto"/>
              <w:right w:val="single" w:sz="8" w:space="0" w:color="auto"/>
            </w:tcBorders>
            <w:shd w:val="clear" w:color="auto" w:fill="auto"/>
            <w:vAlign w:val="center"/>
          </w:tcPr>
          <w:p w:rsidR="00224BDC" w:rsidRDefault="00AD16E1">
            <w:pPr>
              <w:jc w:val="center"/>
              <w:rPr>
                <w:rFonts w:eastAsia="Calibri" w:cs="Calibri"/>
                <w:color w:val="BFBFBF" w:themeColor="background1" w:themeShade="BF"/>
                <w:szCs w:val="22"/>
                <w:lang w:val="fr-BE" w:eastAsia="en-US"/>
              </w:rPr>
            </w:pPr>
            <w:r>
              <w:rPr>
                <w:rFonts w:eastAsia="Calibri" w:cs="Calibri"/>
                <w:color w:val="BFBFBF" w:themeColor="background1" w:themeShade="BF"/>
                <w:szCs w:val="22"/>
                <w:lang w:val="fr-BE" w:eastAsia="en-US"/>
              </w:rPr>
              <w:t xml:space="preserve">Français </w:t>
            </w:r>
          </w:p>
        </w:tc>
        <w:tc>
          <w:tcPr>
            <w:tcW w:w="1639" w:type="dxa"/>
            <w:vMerge w:val="restart"/>
            <w:tcBorders>
              <w:top w:val="single" w:sz="8" w:space="0" w:color="auto"/>
              <w:left w:val="single" w:sz="8" w:space="0" w:color="auto"/>
              <w:right w:val="single" w:sz="8" w:space="0" w:color="auto"/>
            </w:tcBorders>
            <w:shd w:val="clear" w:color="auto" w:fill="auto"/>
            <w:vAlign w:val="center"/>
          </w:tcPr>
          <w:p w:rsidR="00224BDC" w:rsidRDefault="00AD16E1">
            <w:pPr>
              <w:jc w:val="center"/>
              <w:rPr>
                <w:rFonts w:eastAsia="Calibri" w:cs="Calibri"/>
                <w:color w:val="BFBFBF" w:themeColor="background1" w:themeShade="BF"/>
                <w:szCs w:val="22"/>
                <w:lang w:val="fr-BE" w:eastAsia="en-US"/>
              </w:rPr>
            </w:pPr>
            <w:r>
              <w:rPr>
                <w:rFonts w:eastAsia="Calibri" w:cs="Calibri"/>
                <w:color w:val="BFBFBF" w:themeColor="background1" w:themeShade="BF"/>
                <w:szCs w:val="22"/>
                <w:lang w:val="fr-BE" w:eastAsia="en-US"/>
              </w:rPr>
              <w:t>Sciences</w:t>
            </w:r>
          </w:p>
        </w:tc>
        <w:tc>
          <w:tcPr>
            <w:tcW w:w="1981" w:type="dxa"/>
            <w:vMerge w:val="restart"/>
            <w:tcBorders>
              <w:top w:val="single" w:sz="8" w:space="0" w:color="auto"/>
              <w:left w:val="single" w:sz="8" w:space="0" w:color="auto"/>
              <w:right w:val="single" w:sz="8" w:space="0" w:color="auto"/>
            </w:tcBorders>
            <w:shd w:val="clear" w:color="auto" w:fill="auto"/>
            <w:vAlign w:val="center"/>
          </w:tcPr>
          <w:p w:rsidR="00224BDC" w:rsidRDefault="00AD16E1">
            <w:pPr>
              <w:jc w:val="center"/>
              <w:rPr>
                <w:rFonts w:eastAsia="Calibri" w:cs="Calibri"/>
                <w:szCs w:val="22"/>
                <w:lang w:val="fr-BE" w:eastAsia="en-US"/>
              </w:rPr>
            </w:pPr>
            <w:r>
              <w:rPr>
                <w:rFonts w:eastAsia="Calibri" w:cs="Calibri"/>
                <w:szCs w:val="22"/>
                <w:lang w:val="fr-BE" w:eastAsia="en-US"/>
              </w:rPr>
              <w:t>Langues modernes</w:t>
            </w:r>
            <w:proofErr w:type="gramStart"/>
            <w:r>
              <w:rPr>
                <w:rFonts w:eastAsia="Calibri" w:cs="Calibri"/>
                <w:szCs w:val="22"/>
                <w:lang w:val="fr-BE" w:eastAsia="en-US"/>
              </w:rPr>
              <w:t>,</w:t>
            </w:r>
            <w:proofErr w:type="gramEnd"/>
            <w:r>
              <w:rPr>
                <w:rFonts w:eastAsia="Calibri" w:cs="Calibri"/>
                <w:szCs w:val="22"/>
                <w:lang w:val="fr-BE" w:eastAsia="en-US"/>
              </w:rPr>
              <w:br/>
              <w:t>partie écrite</w:t>
            </w:r>
          </w:p>
        </w:tc>
        <w:tc>
          <w:tcPr>
            <w:tcW w:w="1654" w:type="dxa"/>
            <w:vMerge w:val="restart"/>
            <w:tcBorders>
              <w:top w:val="single" w:sz="8" w:space="0" w:color="auto"/>
              <w:left w:val="single" w:sz="8" w:space="0" w:color="auto"/>
              <w:right w:val="single" w:sz="8" w:space="0" w:color="auto"/>
            </w:tcBorders>
            <w:shd w:val="clear" w:color="auto" w:fill="auto"/>
            <w:vAlign w:val="center"/>
          </w:tcPr>
          <w:p w:rsidR="00224BDC" w:rsidRDefault="00AD16E1">
            <w:pPr>
              <w:jc w:val="center"/>
              <w:rPr>
                <w:rFonts w:eastAsia="Calibri" w:cs="Calibri"/>
                <w:color w:val="BFBFBF" w:themeColor="background1" w:themeShade="BF"/>
                <w:szCs w:val="22"/>
                <w:lang w:val="fr-BE" w:eastAsia="en-US"/>
              </w:rPr>
            </w:pPr>
            <w:r>
              <w:rPr>
                <w:rFonts w:eastAsia="Calibri" w:cs="Calibri"/>
                <w:color w:val="BFBFBF" w:themeColor="background1" w:themeShade="BF"/>
                <w:szCs w:val="22"/>
                <w:lang w:val="fr-BE" w:eastAsia="en-US"/>
              </w:rPr>
              <w:t>Mathématiques</w:t>
            </w:r>
          </w:p>
        </w:tc>
      </w:tr>
      <w:tr w:rsidR="00224BDC">
        <w:trPr>
          <w:trHeight w:val="454"/>
          <w:jc w:val="center"/>
        </w:trPr>
        <w:tc>
          <w:tcPr>
            <w:tcW w:w="987" w:type="dxa"/>
            <w:vMerge/>
            <w:tcBorders>
              <w:top w:val="single" w:sz="12" w:space="0" w:color="auto"/>
              <w:left w:val="single" w:sz="8" w:space="0" w:color="auto"/>
              <w:bottom w:val="single" w:sz="12" w:space="0" w:color="auto"/>
              <w:right w:val="single" w:sz="8" w:space="0" w:color="auto"/>
            </w:tcBorders>
            <w:shd w:val="clear" w:color="auto" w:fill="auto"/>
            <w:vAlign w:val="center"/>
          </w:tcPr>
          <w:p w:rsidR="00224BDC" w:rsidRDefault="00224BDC">
            <w:pPr>
              <w:jc w:val="center"/>
              <w:rPr>
                <w:rFonts w:eastAsia="Calibri" w:cs="Calibri"/>
                <w:b/>
                <w:szCs w:val="22"/>
                <w:lang w:val="fr-BE" w:eastAsia="en-US"/>
              </w:rPr>
            </w:pPr>
          </w:p>
        </w:tc>
        <w:tc>
          <w:tcPr>
            <w:tcW w:w="964" w:type="dxa"/>
            <w:tcBorders>
              <w:top w:val="single" w:sz="8" w:space="0" w:color="auto"/>
              <w:left w:val="single" w:sz="8" w:space="0" w:color="auto"/>
              <w:bottom w:val="single" w:sz="8" w:space="0" w:color="auto"/>
              <w:right w:val="single" w:sz="8" w:space="0" w:color="auto"/>
            </w:tcBorders>
            <w:shd w:val="clear" w:color="auto" w:fill="auto"/>
            <w:vAlign w:val="center"/>
          </w:tcPr>
          <w:p w:rsidR="00224BDC" w:rsidRDefault="00AD16E1">
            <w:pPr>
              <w:jc w:val="center"/>
              <w:rPr>
                <w:rFonts w:eastAsia="Calibri" w:cs="Calibri"/>
                <w:b/>
                <w:szCs w:val="22"/>
                <w:lang w:val="fr-BE" w:eastAsia="en-US"/>
              </w:rPr>
            </w:pPr>
            <w:r>
              <w:rPr>
                <w:rFonts w:eastAsia="Calibri" w:cs="Calibri"/>
                <w:b/>
                <w:szCs w:val="22"/>
                <w:lang w:val="fr-BE" w:eastAsia="en-US"/>
              </w:rPr>
              <w:t>50 min</w:t>
            </w:r>
          </w:p>
        </w:tc>
        <w:tc>
          <w:tcPr>
            <w:tcW w:w="1800" w:type="dxa"/>
            <w:vMerge/>
            <w:tcBorders>
              <w:left w:val="single" w:sz="8" w:space="0" w:color="auto"/>
              <w:bottom w:val="single" w:sz="8" w:space="0" w:color="auto"/>
              <w:right w:val="single" w:sz="8" w:space="0" w:color="auto"/>
            </w:tcBorders>
            <w:shd w:val="clear" w:color="auto" w:fill="auto"/>
            <w:vAlign w:val="center"/>
          </w:tcPr>
          <w:p w:rsidR="00224BDC" w:rsidRDefault="00224BDC">
            <w:pPr>
              <w:jc w:val="center"/>
              <w:rPr>
                <w:rFonts w:eastAsia="Calibri" w:cs="Calibri"/>
                <w:b/>
                <w:szCs w:val="22"/>
                <w:lang w:val="fr-BE" w:eastAsia="en-US"/>
              </w:rPr>
            </w:pPr>
          </w:p>
        </w:tc>
        <w:tc>
          <w:tcPr>
            <w:tcW w:w="1639" w:type="dxa"/>
            <w:vMerge/>
            <w:tcBorders>
              <w:left w:val="single" w:sz="8" w:space="0" w:color="auto"/>
              <w:bottom w:val="single" w:sz="8" w:space="0" w:color="auto"/>
              <w:right w:val="single" w:sz="8" w:space="0" w:color="auto"/>
            </w:tcBorders>
            <w:shd w:val="clear" w:color="auto" w:fill="auto"/>
            <w:vAlign w:val="center"/>
          </w:tcPr>
          <w:p w:rsidR="00224BDC" w:rsidRDefault="00224BDC">
            <w:pPr>
              <w:jc w:val="center"/>
              <w:rPr>
                <w:rFonts w:eastAsia="Calibri" w:cs="Calibri"/>
                <w:b/>
                <w:szCs w:val="22"/>
                <w:lang w:val="fr-BE" w:eastAsia="en-US"/>
              </w:rPr>
            </w:pPr>
          </w:p>
        </w:tc>
        <w:tc>
          <w:tcPr>
            <w:tcW w:w="1981" w:type="dxa"/>
            <w:vMerge/>
            <w:tcBorders>
              <w:left w:val="single" w:sz="8" w:space="0" w:color="auto"/>
              <w:bottom w:val="single" w:sz="8" w:space="0" w:color="auto"/>
              <w:right w:val="single" w:sz="8" w:space="0" w:color="auto"/>
            </w:tcBorders>
            <w:shd w:val="clear" w:color="auto" w:fill="auto"/>
            <w:vAlign w:val="center"/>
          </w:tcPr>
          <w:p w:rsidR="00224BDC" w:rsidRDefault="00224BDC">
            <w:pPr>
              <w:jc w:val="center"/>
              <w:rPr>
                <w:rFonts w:eastAsia="Calibri" w:cs="Calibri"/>
                <w:b/>
                <w:szCs w:val="22"/>
                <w:lang w:val="fr-BE" w:eastAsia="en-US"/>
              </w:rPr>
            </w:pPr>
          </w:p>
        </w:tc>
        <w:tc>
          <w:tcPr>
            <w:tcW w:w="1654" w:type="dxa"/>
            <w:vMerge/>
            <w:tcBorders>
              <w:left w:val="single" w:sz="8" w:space="0" w:color="auto"/>
              <w:bottom w:val="single" w:sz="8" w:space="0" w:color="auto"/>
              <w:right w:val="single" w:sz="8" w:space="0" w:color="auto"/>
            </w:tcBorders>
            <w:shd w:val="clear" w:color="auto" w:fill="auto"/>
            <w:vAlign w:val="center"/>
          </w:tcPr>
          <w:p w:rsidR="00224BDC" w:rsidRDefault="00224BDC">
            <w:pPr>
              <w:jc w:val="center"/>
              <w:rPr>
                <w:rFonts w:eastAsia="Calibri" w:cs="Calibri"/>
                <w:b/>
                <w:color w:val="BFBFBF" w:themeColor="background1" w:themeShade="BF"/>
                <w:szCs w:val="22"/>
                <w:lang w:val="fr-BE" w:eastAsia="en-US"/>
              </w:rPr>
            </w:pPr>
          </w:p>
        </w:tc>
      </w:tr>
      <w:tr w:rsidR="00224BDC">
        <w:trPr>
          <w:trHeight w:val="454"/>
          <w:jc w:val="center"/>
        </w:trPr>
        <w:tc>
          <w:tcPr>
            <w:tcW w:w="987" w:type="dxa"/>
            <w:vMerge/>
            <w:tcBorders>
              <w:top w:val="single" w:sz="12" w:space="0" w:color="auto"/>
              <w:left w:val="single" w:sz="8" w:space="0" w:color="auto"/>
              <w:bottom w:val="single" w:sz="12" w:space="0" w:color="auto"/>
              <w:right w:val="single" w:sz="8" w:space="0" w:color="auto"/>
            </w:tcBorders>
            <w:shd w:val="clear" w:color="auto" w:fill="auto"/>
            <w:vAlign w:val="center"/>
          </w:tcPr>
          <w:p w:rsidR="00224BDC" w:rsidRDefault="00224BDC">
            <w:pPr>
              <w:jc w:val="center"/>
              <w:rPr>
                <w:rFonts w:eastAsia="Calibri" w:cs="Calibri"/>
                <w:b/>
                <w:szCs w:val="22"/>
                <w:lang w:val="fr-BE" w:eastAsia="en-US"/>
              </w:rPr>
            </w:pPr>
          </w:p>
        </w:tc>
        <w:tc>
          <w:tcPr>
            <w:tcW w:w="8038" w:type="dxa"/>
            <w:gridSpan w:val="5"/>
            <w:tcBorders>
              <w:top w:val="single" w:sz="8" w:space="0" w:color="auto"/>
              <w:left w:val="single" w:sz="8" w:space="0" w:color="auto"/>
              <w:bottom w:val="single" w:sz="8" w:space="0" w:color="auto"/>
              <w:right w:val="single" w:sz="8" w:space="0" w:color="auto"/>
            </w:tcBorders>
            <w:shd w:val="clear" w:color="auto" w:fill="BFBFBF"/>
            <w:vAlign w:val="center"/>
          </w:tcPr>
          <w:p w:rsidR="00224BDC" w:rsidRDefault="00AD16E1">
            <w:pPr>
              <w:jc w:val="center"/>
              <w:rPr>
                <w:rFonts w:eastAsia="Calibri" w:cs="Calibri"/>
                <w:b/>
                <w:i/>
                <w:color w:val="BFBFBF" w:themeColor="background1" w:themeShade="BF"/>
                <w:szCs w:val="22"/>
                <w:lang w:val="fr-BE" w:eastAsia="en-US"/>
              </w:rPr>
            </w:pPr>
            <w:r>
              <w:rPr>
                <w:rFonts w:eastAsia="Calibri" w:cs="Calibri"/>
                <w:b/>
                <w:i/>
                <w:color w:val="BFBFBF" w:themeColor="background1" w:themeShade="BF"/>
                <w:szCs w:val="22"/>
                <w:lang w:val="fr-BE" w:eastAsia="en-US"/>
              </w:rPr>
              <w:t>Pause</w:t>
            </w:r>
          </w:p>
        </w:tc>
      </w:tr>
      <w:tr w:rsidR="00224BDC">
        <w:trPr>
          <w:trHeight w:val="454"/>
          <w:jc w:val="center"/>
        </w:trPr>
        <w:tc>
          <w:tcPr>
            <w:tcW w:w="987" w:type="dxa"/>
            <w:vMerge/>
            <w:tcBorders>
              <w:top w:val="single" w:sz="12" w:space="0" w:color="auto"/>
              <w:left w:val="single" w:sz="8" w:space="0" w:color="auto"/>
              <w:bottom w:val="single" w:sz="12" w:space="0" w:color="auto"/>
              <w:right w:val="single" w:sz="8" w:space="0" w:color="auto"/>
            </w:tcBorders>
            <w:shd w:val="clear" w:color="auto" w:fill="auto"/>
            <w:vAlign w:val="center"/>
          </w:tcPr>
          <w:p w:rsidR="00224BDC" w:rsidRDefault="00224BDC">
            <w:pPr>
              <w:jc w:val="center"/>
              <w:rPr>
                <w:rFonts w:eastAsia="Calibri" w:cs="Calibri"/>
                <w:b/>
                <w:szCs w:val="22"/>
                <w:lang w:val="fr-BE" w:eastAsia="en-US"/>
              </w:rPr>
            </w:pPr>
          </w:p>
        </w:tc>
        <w:tc>
          <w:tcPr>
            <w:tcW w:w="964" w:type="dxa"/>
            <w:tcBorders>
              <w:top w:val="single" w:sz="8" w:space="0" w:color="auto"/>
              <w:left w:val="single" w:sz="8" w:space="0" w:color="auto"/>
              <w:bottom w:val="single" w:sz="8" w:space="0" w:color="auto"/>
              <w:right w:val="single" w:sz="8" w:space="0" w:color="auto"/>
            </w:tcBorders>
            <w:shd w:val="clear" w:color="auto" w:fill="auto"/>
            <w:vAlign w:val="center"/>
          </w:tcPr>
          <w:p w:rsidR="00224BDC" w:rsidRDefault="00AD16E1">
            <w:pPr>
              <w:jc w:val="center"/>
              <w:rPr>
                <w:rFonts w:eastAsia="Calibri" w:cs="Calibri"/>
                <w:b/>
                <w:szCs w:val="22"/>
                <w:lang w:val="fr-BE" w:eastAsia="en-US"/>
              </w:rPr>
            </w:pPr>
            <w:r>
              <w:rPr>
                <w:rFonts w:eastAsia="Calibri" w:cs="Calibri"/>
                <w:b/>
                <w:szCs w:val="22"/>
                <w:lang w:val="fr-BE" w:eastAsia="en-US"/>
              </w:rPr>
              <w:t>50 min</w:t>
            </w:r>
          </w:p>
        </w:tc>
        <w:tc>
          <w:tcPr>
            <w:tcW w:w="1800" w:type="dxa"/>
            <w:vMerge w:val="restart"/>
            <w:tcBorders>
              <w:top w:val="single" w:sz="8" w:space="0" w:color="auto"/>
              <w:left w:val="single" w:sz="8" w:space="0" w:color="auto"/>
              <w:right w:val="single" w:sz="8" w:space="0" w:color="auto"/>
            </w:tcBorders>
            <w:shd w:val="clear" w:color="auto" w:fill="auto"/>
            <w:vAlign w:val="center"/>
          </w:tcPr>
          <w:p w:rsidR="00224BDC" w:rsidRDefault="00AD16E1">
            <w:pPr>
              <w:jc w:val="center"/>
              <w:rPr>
                <w:rFonts w:eastAsia="Calibri" w:cs="Calibri"/>
                <w:b/>
                <w:color w:val="BFBFBF" w:themeColor="background1" w:themeShade="BF"/>
                <w:szCs w:val="22"/>
                <w:lang w:val="fr-BE" w:eastAsia="en-US"/>
              </w:rPr>
            </w:pPr>
            <w:r>
              <w:rPr>
                <w:rFonts w:eastAsia="Calibri" w:cs="Calibri"/>
                <w:color w:val="BFBFBF" w:themeColor="background1" w:themeShade="BF"/>
                <w:szCs w:val="22"/>
                <w:lang w:val="fr-BE" w:eastAsia="en-US"/>
              </w:rPr>
              <w:t>Français</w:t>
            </w:r>
          </w:p>
        </w:tc>
        <w:tc>
          <w:tcPr>
            <w:tcW w:w="1639" w:type="dxa"/>
            <w:tcBorders>
              <w:top w:val="single" w:sz="8" w:space="0" w:color="auto"/>
              <w:left w:val="single" w:sz="8" w:space="0" w:color="auto"/>
              <w:right w:val="single" w:sz="8" w:space="0" w:color="auto"/>
            </w:tcBorders>
            <w:shd w:val="clear" w:color="auto" w:fill="auto"/>
            <w:vAlign w:val="center"/>
          </w:tcPr>
          <w:p w:rsidR="00224BDC" w:rsidRDefault="00AD16E1">
            <w:pPr>
              <w:jc w:val="center"/>
              <w:rPr>
                <w:rFonts w:eastAsia="Calibri" w:cs="Calibri"/>
                <w:color w:val="BFBFBF" w:themeColor="background1" w:themeShade="BF"/>
                <w:szCs w:val="22"/>
                <w:lang w:val="fr-BE" w:eastAsia="en-US"/>
              </w:rPr>
            </w:pPr>
            <w:r>
              <w:rPr>
                <w:rFonts w:eastAsia="Calibri" w:cs="Calibri"/>
                <w:color w:val="BFBFBF" w:themeColor="background1" w:themeShade="BF"/>
                <w:szCs w:val="22"/>
                <w:lang w:val="fr-BE" w:eastAsia="en-US"/>
              </w:rPr>
              <w:t>Sciences</w:t>
            </w:r>
          </w:p>
        </w:tc>
        <w:tc>
          <w:tcPr>
            <w:tcW w:w="1981" w:type="dxa"/>
            <w:tcBorders>
              <w:top w:val="single" w:sz="4" w:space="0" w:color="auto"/>
              <w:left w:val="single" w:sz="8" w:space="0" w:color="auto"/>
              <w:right w:val="single" w:sz="8" w:space="0" w:color="auto"/>
            </w:tcBorders>
            <w:shd w:val="clear" w:color="auto" w:fill="auto"/>
            <w:vAlign w:val="center"/>
          </w:tcPr>
          <w:p w:rsidR="00224BDC" w:rsidRDefault="00AD16E1">
            <w:pPr>
              <w:jc w:val="center"/>
              <w:rPr>
                <w:rFonts w:eastAsia="Calibri" w:cs="Calibri"/>
                <w:szCs w:val="22"/>
                <w:lang w:val="fr-BE" w:eastAsia="en-US"/>
              </w:rPr>
            </w:pPr>
            <w:r>
              <w:rPr>
                <w:rFonts w:eastAsia="Calibri" w:cs="Calibri"/>
                <w:szCs w:val="22"/>
                <w:lang w:val="fr-BE" w:eastAsia="en-US"/>
              </w:rPr>
              <w:t>LM, partie écrite</w:t>
            </w:r>
          </w:p>
        </w:tc>
        <w:tc>
          <w:tcPr>
            <w:tcW w:w="1654" w:type="dxa"/>
            <w:vMerge w:val="restart"/>
            <w:tcBorders>
              <w:top w:val="single" w:sz="8" w:space="0" w:color="auto"/>
              <w:left w:val="single" w:sz="8" w:space="0" w:color="auto"/>
              <w:right w:val="single" w:sz="8" w:space="0" w:color="auto"/>
            </w:tcBorders>
            <w:shd w:val="clear" w:color="auto" w:fill="auto"/>
            <w:vAlign w:val="center"/>
          </w:tcPr>
          <w:p w:rsidR="00224BDC" w:rsidRDefault="00AD16E1">
            <w:pPr>
              <w:jc w:val="center"/>
              <w:rPr>
                <w:rFonts w:eastAsia="Calibri" w:cs="Calibri"/>
                <w:color w:val="BFBFBF" w:themeColor="background1" w:themeShade="BF"/>
                <w:szCs w:val="22"/>
                <w:lang w:val="fr-BE" w:eastAsia="en-US"/>
              </w:rPr>
            </w:pPr>
            <w:r>
              <w:rPr>
                <w:rFonts w:eastAsia="Calibri" w:cs="Calibri"/>
                <w:color w:val="BFBFBF" w:themeColor="background1" w:themeShade="BF"/>
                <w:szCs w:val="22"/>
                <w:lang w:val="fr-BE" w:eastAsia="en-US"/>
              </w:rPr>
              <w:t>Mathématiques</w:t>
            </w:r>
          </w:p>
        </w:tc>
      </w:tr>
      <w:tr w:rsidR="00224BDC">
        <w:trPr>
          <w:trHeight w:val="454"/>
          <w:jc w:val="center"/>
        </w:trPr>
        <w:tc>
          <w:tcPr>
            <w:tcW w:w="987" w:type="dxa"/>
            <w:vMerge/>
            <w:tcBorders>
              <w:top w:val="single" w:sz="12" w:space="0" w:color="auto"/>
              <w:left w:val="single" w:sz="8" w:space="0" w:color="auto"/>
              <w:bottom w:val="single" w:sz="12" w:space="0" w:color="auto"/>
              <w:right w:val="single" w:sz="8" w:space="0" w:color="auto"/>
            </w:tcBorders>
            <w:shd w:val="clear" w:color="auto" w:fill="auto"/>
            <w:vAlign w:val="center"/>
          </w:tcPr>
          <w:p w:rsidR="00224BDC" w:rsidRDefault="00224BDC">
            <w:pPr>
              <w:jc w:val="center"/>
              <w:rPr>
                <w:rFonts w:eastAsia="Calibri" w:cs="Calibri"/>
                <w:b/>
                <w:szCs w:val="22"/>
                <w:lang w:val="fr-BE" w:eastAsia="en-US"/>
              </w:rPr>
            </w:pPr>
          </w:p>
        </w:tc>
        <w:tc>
          <w:tcPr>
            <w:tcW w:w="964" w:type="dxa"/>
            <w:tcBorders>
              <w:top w:val="single" w:sz="8" w:space="0" w:color="auto"/>
              <w:left w:val="single" w:sz="8" w:space="0" w:color="auto"/>
              <w:bottom w:val="single" w:sz="8" w:space="0" w:color="auto"/>
              <w:right w:val="single" w:sz="8" w:space="0" w:color="auto"/>
            </w:tcBorders>
            <w:shd w:val="clear" w:color="auto" w:fill="auto"/>
            <w:vAlign w:val="center"/>
          </w:tcPr>
          <w:p w:rsidR="00224BDC" w:rsidRDefault="00AD16E1">
            <w:pPr>
              <w:jc w:val="center"/>
              <w:rPr>
                <w:rFonts w:eastAsia="Calibri" w:cs="Calibri"/>
                <w:b/>
                <w:szCs w:val="22"/>
                <w:lang w:val="fr-BE" w:eastAsia="en-US"/>
              </w:rPr>
            </w:pPr>
            <w:r>
              <w:rPr>
                <w:rFonts w:eastAsia="Calibri" w:cs="Calibri"/>
                <w:b/>
                <w:szCs w:val="22"/>
                <w:lang w:val="fr-BE" w:eastAsia="en-US"/>
              </w:rPr>
              <w:t>50 min</w:t>
            </w:r>
          </w:p>
        </w:tc>
        <w:tc>
          <w:tcPr>
            <w:tcW w:w="1800" w:type="dxa"/>
            <w:vMerge/>
            <w:tcBorders>
              <w:left w:val="single" w:sz="8" w:space="0" w:color="auto"/>
              <w:right w:val="single" w:sz="8" w:space="0" w:color="auto"/>
            </w:tcBorders>
            <w:shd w:val="clear" w:color="auto" w:fill="A6A6A6"/>
            <w:vAlign w:val="center"/>
          </w:tcPr>
          <w:p w:rsidR="00224BDC" w:rsidRDefault="00224BDC">
            <w:pPr>
              <w:jc w:val="center"/>
              <w:rPr>
                <w:rFonts w:eastAsia="Calibri" w:cs="Calibri"/>
                <w:b/>
                <w:szCs w:val="22"/>
                <w:lang w:val="fr-BE" w:eastAsia="en-US"/>
              </w:rPr>
            </w:pPr>
          </w:p>
        </w:tc>
        <w:tc>
          <w:tcPr>
            <w:tcW w:w="1639" w:type="dxa"/>
            <w:tcBorders>
              <w:left w:val="single" w:sz="8" w:space="0" w:color="auto"/>
              <w:right w:val="single" w:sz="8" w:space="0" w:color="auto"/>
            </w:tcBorders>
            <w:shd w:val="clear" w:color="auto" w:fill="A6A6A6"/>
            <w:vAlign w:val="center"/>
          </w:tcPr>
          <w:p w:rsidR="00224BDC" w:rsidRDefault="00224BDC">
            <w:pPr>
              <w:jc w:val="center"/>
              <w:rPr>
                <w:rFonts w:eastAsia="Calibri" w:cs="Calibri"/>
                <w:b/>
                <w:szCs w:val="22"/>
                <w:lang w:val="fr-BE" w:eastAsia="en-US"/>
              </w:rPr>
            </w:pPr>
          </w:p>
        </w:tc>
        <w:tc>
          <w:tcPr>
            <w:tcW w:w="1981" w:type="dxa"/>
            <w:tcBorders>
              <w:left w:val="single" w:sz="8" w:space="0" w:color="auto"/>
              <w:right w:val="single" w:sz="8" w:space="0" w:color="auto"/>
            </w:tcBorders>
            <w:shd w:val="clear" w:color="auto" w:fill="A6A6A6"/>
            <w:vAlign w:val="center"/>
          </w:tcPr>
          <w:p w:rsidR="00224BDC" w:rsidRDefault="00224BDC">
            <w:pPr>
              <w:jc w:val="center"/>
              <w:rPr>
                <w:rFonts w:eastAsia="Calibri" w:cs="Calibri"/>
                <w:b/>
                <w:szCs w:val="22"/>
                <w:lang w:val="fr-BE" w:eastAsia="en-US"/>
              </w:rPr>
            </w:pPr>
          </w:p>
        </w:tc>
        <w:tc>
          <w:tcPr>
            <w:tcW w:w="1654" w:type="dxa"/>
            <w:vMerge/>
            <w:tcBorders>
              <w:left w:val="single" w:sz="8" w:space="0" w:color="auto"/>
              <w:bottom w:val="single" w:sz="8" w:space="0" w:color="auto"/>
              <w:right w:val="single" w:sz="8" w:space="0" w:color="auto"/>
            </w:tcBorders>
            <w:shd w:val="clear" w:color="auto" w:fill="A6A6A6"/>
            <w:vAlign w:val="center"/>
          </w:tcPr>
          <w:p w:rsidR="00224BDC" w:rsidRDefault="00224BDC">
            <w:pPr>
              <w:jc w:val="center"/>
              <w:rPr>
                <w:rFonts w:eastAsia="Calibri" w:cs="Calibri"/>
                <w:szCs w:val="22"/>
                <w:lang w:val="fr-BE" w:eastAsia="en-US"/>
              </w:rPr>
            </w:pPr>
          </w:p>
        </w:tc>
      </w:tr>
      <w:tr w:rsidR="00224BDC">
        <w:trPr>
          <w:trHeight w:val="245"/>
          <w:jc w:val="center"/>
        </w:trPr>
        <w:tc>
          <w:tcPr>
            <w:tcW w:w="9025" w:type="dxa"/>
            <w:gridSpan w:val="6"/>
            <w:tcBorders>
              <w:top w:val="single" w:sz="12" w:space="0" w:color="auto"/>
              <w:left w:val="single" w:sz="8" w:space="0" w:color="auto"/>
              <w:bottom w:val="single" w:sz="8" w:space="0" w:color="auto"/>
              <w:right w:val="single" w:sz="8" w:space="0" w:color="auto"/>
            </w:tcBorders>
            <w:shd w:val="clear" w:color="auto" w:fill="auto"/>
            <w:vAlign w:val="center"/>
          </w:tcPr>
          <w:p w:rsidR="00224BDC" w:rsidRDefault="00AD16E1">
            <w:pPr>
              <w:jc w:val="center"/>
              <w:rPr>
                <w:rFonts w:eastAsia="Calibri" w:cs="Calibri"/>
                <w:i/>
                <w:szCs w:val="22"/>
                <w:lang w:val="fr-BE" w:eastAsia="en-US"/>
              </w:rPr>
            </w:pPr>
            <w:r>
              <w:rPr>
                <w:rFonts w:eastAsia="Calibri" w:cs="Calibri"/>
                <w:i/>
                <w:szCs w:val="22"/>
                <w:lang w:val="fr-BE" w:eastAsia="en-US"/>
              </w:rPr>
              <w:t xml:space="preserve">Langues modernes, partie orale : entre les lundis 14/6 et 21/6 à la libre </w:t>
            </w:r>
            <w:r>
              <w:rPr>
                <w:rFonts w:eastAsia="Calibri" w:cs="Calibri"/>
                <w:i/>
                <w:szCs w:val="22"/>
                <w:lang w:val="fr-BE" w:eastAsia="en-US"/>
              </w:rPr>
              <w:t>convenance des écoles.</w:t>
            </w:r>
          </w:p>
        </w:tc>
      </w:tr>
    </w:tbl>
    <w:p w:rsidR="00224BDC" w:rsidRDefault="00224BDC">
      <w:pPr>
        <w:rPr>
          <w:lang w:val="fr-BE"/>
        </w:rPr>
      </w:pPr>
    </w:p>
    <w:p w:rsidR="00224BDC" w:rsidRDefault="00AD16E1">
      <w:pPr>
        <w:tabs>
          <w:tab w:val="left" w:pos="540"/>
        </w:tabs>
        <w:rPr>
          <w:rFonts w:cs="Arial"/>
          <w:szCs w:val="22"/>
        </w:rPr>
      </w:pPr>
      <w:r>
        <w:rPr>
          <w:rFonts w:cs="Arial"/>
          <w:szCs w:val="22"/>
        </w:rPr>
        <w:t xml:space="preserve">L’épreuve comprendra : </w:t>
      </w:r>
    </w:p>
    <w:p w:rsidR="00224BDC" w:rsidRDefault="00AD16E1">
      <w:pPr>
        <w:pStyle w:val="Listepuces"/>
      </w:pPr>
      <w:r>
        <w:t xml:space="preserve">une partie orale qui évalue l’expression orale. Sa durée de passation a été fixée à </w:t>
      </w:r>
      <w:r>
        <w:rPr>
          <w:b/>
        </w:rPr>
        <w:t>5 minutes par élève</w:t>
      </w:r>
      <w:r>
        <w:t xml:space="preserve"> (2 ou 3 minutes supplémentaires peuvent être nécessaires pour les contingences organisationnelles). Ce moment s’articulera en deux temps : un monologue de l’élève et une interaction enseignant-élève. Une préparation d’une dizaine de minutes est à prévoir </w:t>
      </w:r>
      <w:r>
        <w:t>pour chaque élève. Ce temps de préparation coïncidera avec la présentation de l’élève précédent, la gestion des démarches d’évaluation par l’enseignant et l’accueil de l’élève suivant ;</w:t>
      </w:r>
    </w:p>
    <w:p w:rsidR="00224BDC" w:rsidRDefault="00AD16E1">
      <w:pPr>
        <w:pStyle w:val="Listepuces"/>
      </w:pPr>
      <w:r>
        <w:t xml:space="preserve">une partie écrite dont la durée totale a été fixée à </w:t>
      </w:r>
      <w:r>
        <w:rPr>
          <w:b/>
        </w:rPr>
        <w:t>150 minutes</w:t>
      </w:r>
      <w:r>
        <w:t xml:space="preserve"> </w:t>
      </w:r>
      <w:r>
        <w:rPr>
          <w:b/>
        </w:rPr>
        <w:t>effec</w:t>
      </w:r>
      <w:r>
        <w:rPr>
          <w:b/>
        </w:rPr>
        <w:t>tives</w:t>
      </w:r>
      <w:r>
        <w:t xml:space="preserve"> qui sont réparties en deux blocs, entrecoupés d’une pause : le premier de 100 minutes pour la compréhension à l’audition et la compréhension à la lecture et le second de 50 minutes pour l’expression écrite.</w:t>
      </w:r>
    </w:p>
    <w:p w:rsidR="00224BDC" w:rsidRDefault="00AD16E1">
      <w:r>
        <w:rPr>
          <w:rFonts w:cs="Arial"/>
        </w:rPr>
        <w:t>La partie écrite de l’</w:t>
      </w:r>
      <w:r>
        <w:t xml:space="preserve">épreuve est fixée </w:t>
      </w:r>
      <w:r>
        <w:rPr>
          <w:b/>
        </w:rPr>
        <w:t xml:space="preserve">le </w:t>
      </w:r>
      <w:r>
        <w:rPr>
          <w:b/>
        </w:rPr>
        <w:t>vendredi 18 juin 2021</w:t>
      </w:r>
      <w:r>
        <w:t xml:space="preserve"> et débute entre 8h15 et 8h45 selon les dispositions pratiques définies par la direction ou le pouvoir organisateur. La partie orale aura lieu </w:t>
      </w:r>
      <w:r>
        <w:rPr>
          <w:b/>
        </w:rPr>
        <w:t>entre les lundis 14 et 21 juin 2021</w:t>
      </w:r>
      <w:r>
        <w:t>, à la libre convenance des écoles.</w:t>
      </w:r>
    </w:p>
    <w:p w:rsidR="00224BDC" w:rsidRDefault="00AD16E1">
      <w:pPr>
        <w:rPr>
          <w:lang w:val="fr-BE"/>
        </w:rPr>
      </w:pPr>
      <w:r>
        <w:rPr>
          <w:lang w:val="fr-BE"/>
        </w:rPr>
        <w:t>Pour l’expression écr</w:t>
      </w:r>
      <w:r>
        <w:rPr>
          <w:lang w:val="fr-BE"/>
        </w:rPr>
        <w:t xml:space="preserve">ite, l’élève aura le droit d'accéder librement à un </w:t>
      </w:r>
      <w:r>
        <w:rPr>
          <w:b/>
          <w:lang w:val="fr-BE"/>
        </w:rPr>
        <w:t>dictionnaire traductif</w:t>
      </w:r>
      <w:r>
        <w:rPr>
          <w:lang w:val="fr-BE"/>
        </w:rPr>
        <w:t xml:space="preserve"> (personnel ou fourni par l'école). La partie relative à la compréhension à l’audition nécessite un lecteur de CD ou un appareil permettant la lecture et la diffusion de fichiers numériques </w:t>
      </w:r>
      <w:proofErr w:type="spellStart"/>
      <w:r>
        <w:rPr>
          <w:lang w:val="fr-BE"/>
        </w:rPr>
        <w:t>audios</w:t>
      </w:r>
      <w:proofErr w:type="spellEnd"/>
      <w:r>
        <w:rPr>
          <w:lang w:val="fr-BE"/>
        </w:rPr>
        <w:t>.</w:t>
      </w:r>
    </w:p>
    <w:p w:rsidR="00224BDC" w:rsidRDefault="00AD16E1">
      <w:pPr>
        <w:rPr>
          <w:lang w:val="fr-BE"/>
        </w:rPr>
      </w:pPr>
      <w:r>
        <w:t>Les élèves à besoins spécifiques peuvent bénéficier d’amén</w:t>
      </w:r>
      <w:r>
        <w:t>agements lors de l’épreuve, soit au niveau des modalités de passation (ex. temps supplémentaire), soit au niveau du format de l’épreuve (s’ils travaillent habituellement sur des documents adaptés). Les informations complètes figurent au point B.4 de la cir</w:t>
      </w:r>
      <w:r>
        <w:t>culaire</w:t>
      </w:r>
      <w:r>
        <w:rPr>
          <w:rStyle w:val="Appelnotedebasdep"/>
        </w:rPr>
        <w:footnoteReference w:id="1"/>
      </w:r>
      <w:r>
        <w:t>.</w:t>
      </w:r>
    </w:p>
    <w:p w:rsidR="00224BDC" w:rsidRDefault="00AD16E1">
      <w:pPr>
        <w:pStyle w:val="Titre1"/>
        <w:rPr>
          <w:lang w:val="fr-BE"/>
        </w:rPr>
      </w:pPr>
      <w:r>
        <w:rPr>
          <w:lang w:val="fr-BE"/>
        </w:rPr>
        <w:lastRenderedPageBreak/>
        <w:t>Contenu</w:t>
      </w:r>
    </w:p>
    <w:p w:rsidR="00224BDC" w:rsidRDefault="00AD16E1">
      <w:pPr>
        <w:rPr>
          <w:rFonts w:cs="Arial"/>
          <w:szCs w:val="22"/>
        </w:rPr>
      </w:pPr>
      <w:r>
        <w:rPr>
          <w:rFonts w:cs="Arial"/>
          <w:szCs w:val="22"/>
        </w:rPr>
        <w:t>L’épreuve est articulée en 5 compétences : la compréhension à l’audition, la compréhension à la lecture, l’expression écrite, l’expression orale en interaction (EOEI) et l’expression orale sans interaction (EOSI). La pondération est la su</w:t>
      </w:r>
      <w:r>
        <w:rPr>
          <w:rFonts w:cs="Arial"/>
          <w:szCs w:val="22"/>
        </w:rPr>
        <w:t>ivante : 30 % pour l’expression orale (20 % pour l’EOEI et 10 % pour l’EOSI), 30 % pour la compréhension à l’audition, 20 % pour l’expression écrite et 20 % pour la compréhension à la lecture.</w:t>
      </w:r>
    </w:p>
    <w:p w:rsidR="00224BDC" w:rsidRDefault="00AD16E1">
      <w:pPr>
        <w:pStyle w:val="Titre2"/>
      </w:pPr>
      <w:r>
        <w:t>Mesures d’accompagnement exceptionnelles</w:t>
      </w:r>
    </w:p>
    <w:p w:rsidR="00224BDC" w:rsidRDefault="00AD16E1">
      <w:pPr>
        <w:spacing w:after="160" w:line="259" w:lineRule="auto"/>
        <w:rPr>
          <w:rFonts w:asciiTheme="minorHAnsi" w:hAnsiTheme="minorHAnsi"/>
          <w:szCs w:val="22"/>
          <w:lang w:val="fr-BE" w:eastAsia="en-US"/>
        </w:rPr>
      </w:pPr>
      <w:r>
        <w:rPr>
          <w:rFonts w:asciiTheme="minorHAnsi" w:hAnsiTheme="minorHAnsi"/>
          <w:szCs w:val="22"/>
          <w:lang w:val="fr-BE" w:eastAsia="en-US"/>
        </w:rPr>
        <w:t>Le groupe en charge de</w:t>
      </w:r>
      <w:r>
        <w:rPr>
          <w:rFonts w:asciiTheme="minorHAnsi" w:hAnsiTheme="minorHAnsi"/>
          <w:szCs w:val="22"/>
          <w:lang w:val="fr-BE" w:eastAsia="en-US"/>
        </w:rPr>
        <w:t xml:space="preserve"> la conception de l’épreuve propose les mesures d’accompagnement exceptionnelles ci-dessous, afin de guider les enseignants dans l’organisation de leurs cours et de les aider à préparer et rassurer les élèves.</w:t>
      </w:r>
    </w:p>
    <w:p w:rsidR="00224BDC" w:rsidRDefault="00AD16E1">
      <w:pPr>
        <w:spacing w:after="160" w:line="259" w:lineRule="auto"/>
        <w:rPr>
          <w:rFonts w:asciiTheme="minorHAnsi" w:hAnsiTheme="minorHAnsi"/>
          <w:szCs w:val="22"/>
          <w:lang w:val="fr-BE" w:eastAsia="en-US"/>
        </w:rPr>
      </w:pPr>
      <w:r>
        <w:rPr>
          <w:rFonts w:asciiTheme="minorHAnsi" w:hAnsiTheme="minorHAnsi"/>
          <w:szCs w:val="22"/>
          <w:lang w:val="fr-BE" w:eastAsia="en-US"/>
        </w:rPr>
        <w:t>Les listes des champs thématiques, dont la mai</w:t>
      </w:r>
      <w:r>
        <w:rPr>
          <w:rFonts w:asciiTheme="minorHAnsi" w:hAnsiTheme="minorHAnsi"/>
          <w:szCs w:val="22"/>
          <w:lang w:val="fr-BE" w:eastAsia="en-US"/>
        </w:rPr>
        <w:t>trise doit permettre aux élèves de résoudre les tâches de l’épreuve de juin 2021 (« Essentiels et balises diagnostiques pour la rentrée 2020 »</w:t>
      </w:r>
      <w:r>
        <w:rPr>
          <w:rStyle w:val="Appelnotedebasdep"/>
          <w:rFonts w:asciiTheme="minorHAnsi" w:hAnsiTheme="minorHAnsi"/>
          <w:szCs w:val="22"/>
          <w:lang w:val="fr-BE" w:eastAsia="en-US"/>
        </w:rPr>
        <w:footnoteReference w:id="2"/>
      </w:r>
      <w:r>
        <w:rPr>
          <w:rFonts w:asciiTheme="minorHAnsi" w:hAnsiTheme="minorHAnsi"/>
          <w:szCs w:val="22"/>
          <w:lang w:val="fr-BE" w:eastAsia="en-US"/>
        </w:rPr>
        <w:t>), a été insérée dans les paragraphes suivants, décrivant les attendus de chaque compétence.</w:t>
      </w:r>
    </w:p>
    <w:p w:rsidR="00224BDC" w:rsidRDefault="00AD16E1">
      <w:pPr>
        <w:pStyle w:val="Titre3"/>
      </w:pPr>
      <w:r>
        <w:t>Concernant l’express</w:t>
      </w:r>
      <w:r>
        <w:t>ion orale (en interaction et sans interaction)</w:t>
      </w:r>
    </w:p>
    <w:p w:rsidR="00224BDC" w:rsidRDefault="00AD16E1">
      <w:pPr>
        <w:rPr>
          <w:rFonts w:asciiTheme="minorHAnsi" w:hAnsiTheme="minorHAnsi"/>
          <w:szCs w:val="22"/>
          <w:lang w:val="fr-BE" w:eastAsia="en-US"/>
        </w:rPr>
      </w:pPr>
      <w:r>
        <w:rPr>
          <w:rFonts w:asciiTheme="minorHAnsi" w:hAnsiTheme="minorHAnsi" w:cs="Calibri"/>
          <w:color w:val="000000"/>
          <w:szCs w:val="22"/>
          <w:lang w:val="fr-BE" w:eastAsia="fr-BE"/>
        </w:rPr>
        <w:t xml:space="preserve">Eu égard au caractère prioritaire accordé à la communication, </w:t>
      </w:r>
      <w:r>
        <w:rPr>
          <w:rFonts w:asciiTheme="minorHAnsi" w:hAnsiTheme="minorHAnsi" w:cs="Calibri"/>
          <w:b/>
          <w:color w:val="000000"/>
          <w:szCs w:val="22"/>
          <w:lang w:val="fr-BE" w:eastAsia="fr-BE"/>
        </w:rPr>
        <w:t xml:space="preserve">l’ensemble des champs thématiques devra être abordé en expression orale (en interaction et sans interaction). </w:t>
      </w:r>
      <w:r>
        <w:rPr>
          <w:rFonts w:asciiTheme="minorHAnsi" w:hAnsiTheme="minorHAnsi"/>
          <w:szCs w:val="22"/>
          <w:lang w:eastAsia="en-US"/>
        </w:rPr>
        <w:t xml:space="preserve">Cependant, cette année, </w:t>
      </w:r>
      <w:r>
        <w:rPr>
          <w:rFonts w:asciiTheme="minorHAnsi" w:hAnsiTheme="minorHAnsi"/>
          <w:szCs w:val="22"/>
          <w:lang w:val="fr-BE" w:eastAsia="en-US"/>
        </w:rPr>
        <w:t xml:space="preserve">l’enseignant </w:t>
      </w:r>
      <w:r>
        <w:rPr>
          <w:rFonts w:asciiTheme="minorHAnsi" w:hAnsiTheme="minorHAnsi"/>
          <w:szCs w:val="22"/>
          <w:lang w:val="fr-BE" w:eastAsia="en-US"/>
        </w:rPr>
        <w:t xml:space="preserve">aura la liberté, avant la passation, </w:t>
      </w:r>
      <w:r>
        <w:rPr>
          <w:rFonts w:asciiTheme="minorHAnsi" w:hAnsiTheme="minorHAnsi"/>
          <w:b/>
          <w:szCs w:val="22"/>
          <w:lang w:val="fr-BE" w:eastAsia="en-US"/>
        </w:rPr>
        <w:t>d’écarter un maximum de 4 fiches en interaction et 4 fiches sans interaction</w:t>
      </w:r>
      <w:r>
        <w:rPr>
          <w:rFonts w:asciiTheme="minorHAnsi" w:hAnsiTheme="minorHAnsi"/>
          <w:szCs w:val="22"/>
          <w:lang w:val="fr-BE" w:eastAsia="en-US"/>
        </w:rPr>
        <w:t xml:space="preserve"> dont le contenu risquerait de mettre les élèves en difficulté au vu des ressources installées.</w:t>
      </w:r>
    </w:p>
    <w:p w:rsidR="00224BDC" w:rsidRDefault="00AD16E1">
      <w:pPr>
        <w:pStyle w:val="Titre3"/>
      </w:pPr>
      <w:r>
        <w:t>Concernant l’expression écrite</w:t>
      </w:r>
    </w:p>
    <w:tbl>
      <w:tblPr>
        <w:tblStyle w:val="Grilledutableau"/>
        <w:tblW w:w="0" w:type="auto"/>
        <w:jc w:val="center"/>
        <w:tblLook w:val="04A0" w:firstRow="1" w:lastRow="0" w:firstColumn="1" w:lastColumn="0" w:noHBand="0" w:noVBand="1"/>
      </w:tblPr>
      <w:tblGrid>
        <w:gridCol w:w="4531"/>
        <w:gridCol w:w="4531"/>
      </w:tblGrid>
      <w:tr w:rsidR="00224BDC">
        <w:trPr>
          <w:jc w:val="center"/>
        </w:trPr>
        <w:tc>
          <w:tcPr>
            <w:tcW w:w="4531" w:type="dxa"/>
          </w:tcPr>
          <w:p w:rsidR="00224BDC" w:rsidRDefault="00AD16E1">
            <w:pPr>
              <w:spacing w:after="160" w:line="259" w:lineRule="auto"/>
              <w:jc w:val="center"/>
              <w:rPr>
                <w:rFonts w:asciiTheme="minorHAnsi" w:hAnsiTheme="minorHAnsi"/>
                <w:b/>
                <w:szCs w:val="22"/>
                <w:lang w:val="fr-BE" w:eastAsia="en-US"/>
              </w:rPr>
            </w:pPr>
            <w:r>
              <w:rPr>
                <w:rFonts w:asciiTheme="minorHAnsi" w:hAnsiTheme="minorHAnsi"/>
                <w:b/>
                <w:szCs w:val="22"/>
                <w:lang w:val="fr-BE" w:eastAsia="en-US"/>
              </w:rPr>
              <w:t xml:space="preserve">Productions </w:t>
            </w:r>
            <w:r>
              <w:rPr>
                <w:rFonts w:asciiTheme="minorHAnsi" w:hAnsiTheme="minorHAnsi"/>
                <w:b/>
                <w:szCs w:val="22"/>
                <w:lang w:val="fr-BE" w:eastAsia="en-US"/>
              </w:rPr>
              <w:t>attendues possibles en EE</w:t>
            </w:r>
          </w:p>
          <w:p w:rsidR="00224BDC" w:rsidRDefault="00224BDC">
            <w:pPr>
              <w:spacing w:after="160" w:line="259" w:lineRule="auto"/>
              <w:jc w:val="center"/>
              <w:rPr>
                <w:rFonts w:asciiTheme="minorHAnsi" w:hAnsiTheme="minorHAnsi"/>
                <w:b/>
                <w:szCs w:val="22"/>
                <w:lang w:val="fr-BE" w:eastAsia="en-US"/>
              </w:rPr>
            </w:pPr>
          </w:p>
        </w:tc>
        <w:tc>
          <w:tcPr>
            <w:tcW w:w="4531" w:type="dxa"/>
          </w:tcPr>
          <w:p w:rsidR="00224BDC" w:rsidRDefault="00AD16E1">
            <w:pPr>
              <w:spacing w:after="160" w:line="259" w:lineRule="auto"/>
              <w:jc w:val="center"/>
              <w:rPr>
                <w:rFonts w:asciiTheme="minorHAnsi" w:hAnsiTheme="minorHAnsi"/>
                <w:b/>
                <w:szCs w:val="22"/>
                <w:lang w:val="fr-BE" w:eastAsia="en-US"/>
              </w:rPr>
            </w:pPr>
            <w:r>
              <w:rPr>
                <w:rFonts w:asciiTheme="minorHAnsi" w:hAnsiTheme="minorHAnsi"/>
                <w:b/>
                <w:szCs w:val="22"/>
                <w:lang w:val="fr-BE" w:eastAsia="en-US"/>
              </w:rPr>
              <w:t>Exemples de productions du même type issus d’épreuves précédentes.</w:t>
            </w:r>
          </w:p>
          <w:p w:rsidR="00224BDC" w:rsidRDefault="00AD16E1">
            <w:pPr>
              <w:spacing w:after="160" w:line="259" w:lineRule="auto"/>
              <w:jc w:val="center"/>
              <w:rPr>
                <w:rFonts w:asciiTheme="minorHAnsi" w:hAnsiTheme="minorHAnsi"/>
                <w:b/>
                <w:sz w:val="16"/>
                <w:szCs w:val="16"/>
                <w:lang w:val="fr-BE" w:eastAsia="en-US"/>
              </w:rPr>
            </w:pPr>
            <w:r>
              <w:rPr>
                <w:rFonts w:asciiTheme="minorHAnsi" w:hAnsiTheme="minorHAnsi"/>
                <w:b/>
                <w:sz w:val="16"/>
                <w:szCs w:val="16"/>
                <w:lang w:val="fr-BE" w:eastAsia="en-US"/>
              </w:rPr>
              <w:t>Disponibles sur www.enseignement.be</w:t>
            </w:r>
          </w:p>
        </w:tc>
      </w:tr>
      <w:tr w:rsidR="00224BDC">
        <w:trPr>
          <w:jc w:val="center"/>
        </w:trPr>
        <w:tc>
          <w:tcPr>
            <w:tcW w:w="4531" w:type="dxa"/>
          </w:tcPr>
          <w:p w:rsidR="00224BDC" w:rsidRDefault="00AD16E1">
            <w:pPr>
              <w:spacing w:after="160" w:line="259" w:lineRule="auto"/>
              <w:rPr>
                <w:rFonts w:asciiTheme="minorHAnsi" w:hAnsiTheme="minorHAnsi"/>
                <w:szCs w:val="22"/>
                <w:lang w:val="fr-BE" w:eastAsia="en-US"/>
              </w:rPr>
            </w:pPr>
            <w:r>
              <w:rPr>
                <w:rFonts w:asciiTheme="minorHAnsi" w:hAnsiTheme="minorHAnsi"/>
                <w:szCs w:val="22"/>
                <w:lang w:val="fr-BE" w:eastAsia="en-US"/>
              </w:rPr>
              <w:t>Rédiger un avis</w:t>
            </w:r>
          </w:p>
        </w:tc>
        <w:tc>
          <w:tcPr>
            <w:tcW w:w="4531" w:type="dxa"/>
          </w:tcPr>
          <w:p w:rsidR="00224BDC" w:rsidRDefault="00AD16E1">
            <w:pPr>
              <w:spacing w:after="160" w:line="259" w:lineRule="auto"/>
              <w:jc w:val="center"/>
              <w:rPr>
                <w:rFonts w:asciiTheme="minorHAnsi" w:hAnsiTheme="minorHAnsi"/>
                <w:szCs w:val="22"/>
                <w:lang w:val="fr-BE" w:eastAsia="en-US"/>
              </w:rPr>
            </w:pPr>
            <w:r>
              <w:rPr>
                <w:rFonts w:asciiTheme="minorHAnsi" w:hAnsiTheme="minorHAnsi"/>
                <w:szCs w:val="22"/>
                <w:lang w:val="fr-BE" w:eastAsia="en-US"/>
              </w:rPr>
              <w:t>CE1D 2016</w:t>
            </w:r>
          </w:p>
        </w:tc>
      </w:tr>
      <w:tr w:rsidR="00224BDC">
        <w:trPr>
          <w:jc w:val="center"/>
        </w:trPr>
        <w:tc>
          <w:tcPr>
            <w:tcW w:w="4531" w:type="dxa"/>
          </w:tcPr>
          <w:p w:rsidR="00224BDC" w:rsidRDefault="00AD16E1">
            <w:pPr>
              <w:spacing w:after="160" w:line="259" w:lineRule="auto"/>
              <w:rPr>
                <w:rFonts w:asciiTheme="minorHAnsi" w:hAnsiTheme="minorHAnsi"/>
                <w:szCs w:val="22"/>
                <w:lang w:val="fr-BE" w:eastAsia="en-US"/>
              </w:rPr>
            </w:pPr>
            <w:r>
              <w:rPr>
                <w:rFonts w:asciiTheme="minorHAnsi" w:hAnsiTheme="minorHAnsi"/>
                <w:szCs w:val="22"/>
                <w:lang w:val="fr-BE" w:eastAsia="en-US"/>
              </w:rPr>
              <w:t>Rédiger un article</w:t>
            </w:r>
          </w:p>
        </w:tc>
        <w:tc>
          <w:tcPr>
            <w:tcW w:w="4531" w:type="dxa"/>
          </w:tcPr>
          <w:p w:rsidR="00224BDC" w:rsidRDefault="00AD16E1">
            <w:pPr>
              <w:spacing w:after="160" w:line="259" w:lineRule="auto"/>
              <w:jc w:val="center"/>
              <w:rPr>
                <w:rFonts w:asciiTheme="minorHAnsi" w:hAnsiTheme="minorHAnsi"/>
                <w:szCs w:val="22"/>
                <w:lang w:val="fr-BE" w:eastAsia="en-US"/>
              </w:rPr>
            </w:pPr>
            <w:r>
              <w:rPr>
                <w:rFonts w:asciiTheme="minorHAnsi" w:hAnsiTheme="minorHAnsi"/>
                <w:szCs w:val="22"/>
                <w:lang w:val="fr-BE" w:eastAsia="en-US"/>
              </w:rPr>
              <w:t>CE1D 2018</w:t>
            </w:r>
          </w:p>
        </w:tc>
      </w:tr>
    </w:tbl>
    <w:p w:rsidR="00224BDC" w:rsidRDefault="00224BDC">
      <w:pPr>
        <w:rPr>
          <w:lang w:val="fr-BE" w:eastAsia="fr-BE"/>
        </w:rPr>
      </w:pPr>
    </w:p>
    <w:p w:rsidR="00224BDC" w:rsidRDefault="00AD16E1">
      <w:pPr>
        <w:rPr>
          <w:lang w:val="fr-BE" w:eastAsia="fr-BE"/>
        </w:rPr>
      </w:pPr>
      <w:r>
        <w:rPr>
          <w:lang w:val="fr-BE" w:eastAsia="fr-BE"/>
        </w:rPr>
        <w:t>Intentions de communication possibles :</w:t>
      </w:r>
    </w:p>
    <w:p w:rsidR="00224BDC" w:rsidRDefault="00AD16E1">
      <w:pPr>
        <w:pStyle w:val="Listepuces"/>
        <w:rPr>
          <w:lang w:val="fr-BE" w:eastAsia="fr-BE"/>
        </w:rPr>
      </w:pPr>
      <w:r>
        <w:rPr>
          <w:lang w:val="fr-BE" w:eastAsia="fr-BE"/>
        </w:rPr>
        <w:t>décrire un lieu ;</w:t>
      </w:r>
    </w:p>
    <w:p w:rsidR="00224BDC" w:rsidRDefault="00AD16E1">
      <w:pPr>
        <w:pStyle w:val="Listepuces"/>
        <w:rPr>
          <w:lang w:val="fr-BE" w:eastAsia="fr-BE"/>
        </w:rPr>
      </w:pPr>
      <w:r>
        <w:rPr>
          <w:lang w:val="fr-BE" w:eastAsia="fr-BE"/>
        </w:rPr>
        <w:t xml:space="preserve">raconter </w:t>
      </w:r>
      <w:r>
        <w:rPr>
          <w:lang w:val="fr-BE" w:eastAsia="fr-BE"/>
        </w:rPr>
        <w:t>des activités passées ;</w:t>
      </w:r>
    </w:p>
    <w:p w:rsidR="00224BDC" w:rsidRDefault="00AD16E1">
      <w:pPr>
        <w:pStyle w:val="Listepuces"/>
        <w:rPr>
          <w:lang w:val="fr-BE" w:eastAsia="fr-BE"/>
        </w:rPr>
      </w:pPr>
      <w:r>
        <w:rPr>
          <w:lang w:val="fr-BE" w:eastAsia="fr-BE"/>
        </w:rPr>
        <w:t>raconter une expérience personnelle passée.</w:t>
      </w:r>
    </w:p>
    <w:p w:rsidR="00224BDC" w:rsidRDefault="00AD16E1">
      <w:pPr>
        <w:rPr>
          <w:lang w:val="fr-BE" w:eastAsia="fr-BE"/>
        </w:rPr>
      </w:pPr>
      <w:r>
        <w:rPr>
          <w:lang w:val="fr-BE" w:eastAsia="fr-BE"/>
        </w:rPr>
        <w:lastRenderedPageBreak/>
        <w:t>Champs thématiques potentiellement susceptibles d’être nécessaires à la passation de l’épreuve d’expression écrite (</w:t>
      </w:r>
      <w:r>
        <w:rPr>
          <w:lang w:val="fr-BE" w:eastAsia="en-US"/>
        </w:rPr>
        <w:t xml:space="preserve">cf. circulaire 7725 du 3/9/2020 : « Essentiels et balises diagnostiques </w:t>
      </w:r>
      <w:r>
        <w:rPr>
          <w:lang w:val="fr-BE" w:eastAsia="en-US"/>
        </w:rPr>
        <w:t>pour la rentrée 2020 ») </w:t>
      </w:r>
      <w:r>
        <w:rPr>
          <w:lang w:val="fr-BE" w:eastAsia="fr-BE"/>
        </w:rPr>
        <w:t>:</w:t>
      </w:r>
    </w:p>
    <w:p w:rsidR="00224BDC" w:rsidRDefault="00AD16E1">
      <w:pPr>
        <w:pStyle w:val="Listepuces"/>
      </w:pPr>
      <w:r>
        <w:t>caractérisation personnelle ;</w:t>
      </w:r>
    </w:p>
    <w:p w:rsidR="00224BDC" w:rsidRDefault="00AD16E1">
      <w:pPr>
        <w:pStyle w:val="Listepuces"/>
      </w:pPr>
      <w:r>
        <w:t>habitat, environnement ;</w:t>
      </w:r>
    </w:p>
    <w:p w:rsidR="00224BDC" w:rsidRDefault="00AD16E1">
      <w:pPr>
        <w:pStyle w:val="Listepuces"/>
      </w:pPr>
      <w:r>
        <w:t>loisirs ;</w:t>
      </w:r>
    </w:p>
    <w:p w:rsidR="00224BDC" w:rsidRDefault="00AD16E1">
      <w:pPr>
        <w:pStyle w:val="Listepuces"/>
      </w:pPr>
      <w:r>
        <w:t>voyages ;</w:t>
      </w:r>
    </w:p>
    <w:p w:rsidR="00224BDC" w:rsidRDefault="00AD16E1">
      <w:pPr>
        <w:pStyle w:val="Listepuces"/>
      </w:pPr>
      <w:r>
        <w:t>enseignement et apprentissage ;</w:t>
      </w:r>
    </w:p>
    <w:p w:rsidR="00224BDC" w:rsidRDefault="00AD16E1">
      <w:pPr>
        <w:pStyle w:val="Listepuces"/>
      </w:pPr>
      <w:r>
        <w:t>nourriture et boissons ;</w:t>
      </w:r>
    </w:p>
    <w:p w:rsidR="00224BDC" w:rsidRDefault="00AD16E1">
      <w:pPr>
        <w:pStyle w:val="Listepuces"/>
      </w:pPr>
      <w:r>
        <w:t>division du temps.</w:t>
      </w:r>
    </w:p>
    <w:p w:rsidR="00224BDC" w:rsidRDefault="00AD16E1">
      <w:pPr>
        <w:pStyle w:val="Titre3"/>
      </w:pPr>
      <w:r>
        <w:t xml:space="preserve">Concernant les activités de réception (compréhension à l’audition et </w:t>
      </w:r>
      <w:r>
        <w:t>compréhension à la lecture)</w:t>
      </w:r>
    </w:p>
    <w:tbl>
      <w:tblPr>
        <w:tblStyle w:val="Grilledutableau"/>
        <w:tblW w:w="0" w:type="auto"/>
        <w:jc w:val="center"/>
        <w:tblLook w:val="04A0" w:firstRow="1" w:lastRow="0" w:firstColumn="1" w:lastColumn="0" w:noHBand="0" w:noVBand="1"/>
      </w:tblPr>
      <w:tblGrid>
        <w:gridCol w:w="4531"/>
        <w:gridCol w:w="4531"/>
      </w:tblGrid>
      <w:tr w:rsidR="00224BDC">
        <w:trPr>
          <w:jc w:val="center"/>
        </w:trPr>
        <w:tc>
          <w:tcPr>
            <w:tcW w:w="4531" w:type="dxa"/>
          </w:tcPr>
          <w:p w:rsidR="00224BDC" w:rsidRDefault="00AD16E1">
            <w:pPr>
              <w:spacing w:after="160" w:line="259" w:lineRule="auto"/>
              <w:jc w:val="center"/>
              <w:rPr>
                <w:rFonts w:asciiTheme="minorHAnsi" w:hAnsiTheme="minorHAnsi"/>
                <w:b/>
                <w:szCs w:val="22"/>
                <w:lang w:val="fr-BE" w:eastAsia="en-US"/>
              </w:rPr>
            </w:pPr>
            <w:r>
              <w:rPr>
                <w:rFonts w:asciiTheme="minorHAnsi" w:hAnsiTheme="minorHAnsi"/>
                <w:b/>
                <w:szCs w:val="22"/>
                <w:lang w:val="fr-BE" w:eastAsia="en-US"/>
              </w:rPr>
              <w:t>Types de tâches possibles en CA et CL</w:t>
            </w:r>
          </w:p>
          <w:p w:rsidR="00224BDC" w:rsidRDefault="00224BDC">
            <w:pPr>
              <w:spacing w:after="160" w:line="259" w:lineRule="auto"/>
              <w:jc w:val="center"/>
              <w:rPr>
                <w:rFonts w:asciiTheme="minorHAnsi" w:hAnsiTheme="minorHAnsi"/>
                <w:b/>
                <w:szCs w:val="22"/>
                <w:lang w:val="fr-BE" w:eastAsia="en-US"/>
              </w:rPr>
            </w:pPr>
          </w:p>
        </w:tc>
        <w:tc>
          <w:tcPr>
            <w:tcW w:w="4531" w:type="dxa"/>
          </w:tcPr>
          <w:p w:rsidR="00224BDC" w:rsidRDefault="00AD16E1">
            <w:pPr>
              <w:spacing w:after="160" w:line="259" w:lineRule="auto"/>
              <w:jc w:val="center"/>
              <w:rPr>
                <w:rFonts w:asciiTheme="minorHAnsi" w:hAnsiTheme="minorHAnsi"/>
                <w:b/>
                <w:szCs w:val="22"/>
                <w:lang w:val="fr-BE" w:eastAsia="en-US"/>
              </w:rPr>
            </w:pPr>
            <w:r>
              <w:rPr>
                <w:rFonts w:asciiTheme="minorHAnsi" w:hAnsiTheme="minorHAnsi"/>
                <w:b/>
                <w:szCs w:val="22"/>
                <w:lang w:val="fr-BE" w:eastAsia="en-US"/>
              </w:rPr>
              <w:t>Exemples de tâches du même type issus d’épreuves précédentes</w:t>
            </w:r>
          </w:p>
          <w:p w:rsidR="00224BDC" w:rsidRDefault="00AD16E1">
            <w:pPr>
              <w:spacing w:after="160" w:line="259" w:lineRule="auto"/>
              <w:jc w:val="center"/>
              <w:rPr>
                <w:rFonts w:asciiTheme="minorHAnsi" w:hAnsiTheme="minorHAnsi"/>
                <w:b/>
                <w:szCs w:val="22"/>
                <w:lang w:val="fr-BE" w:eastAsia="en-US"/>
              </w:rPr>
            </w:pPr>
            <w:r>
              <w:rPr>
                <w:rFonts w:asciiTheme="minorHAnsi" w:hAnsiTheme="minorHAnsi"/>
                <w:b/>
                <w:sz w:val="16"/>
                <w:szCs w:val="16"/>
                <w:lang w:val="fr-BE" w:eastAsia="en-US"/>
              </w:rPr>
              <w:t>Disponibles sur www.enseignement.be</w:t>
            </w:r>
          </w:p>
        </w:tc>
      </w:tr>
      <w:tr w:rsidR="00224BDC">
        <w:trPr>
          <w:jc w:val="center"/>
        </w:trPr>
        <w:tc>
          <w:tcPr>
            <w:tcW w:w="4531" w:type="dxa"/>
          </w:tcPr>
          <w:p w:rsidR="00224BDC" w:rsidRDefault="00AD16E1">
            <w:pPr>
              <w:spacing w:after="160" w:line="259" w:lineRule="auto"/>
              <w:rPr>
                <w:rFonts w:asciiTheme="minorHAnsi" w:hAnsiTheme="minorHAnsi"/>
                <w:szCs w:val="22"/>
                <w:lang w:val="fr-BE" w:eastAsia="en-US"/>
              </w:rPr>
            </w:pPr>
            <w:r>
              <w:rPr>
                <w:rFonts w:asciiTheme="minorHAnsi" w:hAnsiTheme="minorHAnsi"/>
                <w:szCs w:val="22"/>
                <w:lang w:val="fr-BE" w:eastAsia="en-US"/>
              </w:rPr>
              <w:t>Comprendre des informations et les comparer à un profil donné pour effectuer, éventuellemen</w:t>
            </w:r>
            <w:r>
              <w:rPr>
                <w:rFonts w:asciiTheme="minorHAnsi" w:hAnsiTheme="minorHAnsi"/>
                <w:szCs w:val="22"/>
                <w:lang w:val="fr-BE" w:eastAsia="en-US"/>
              </w:rPr>
              <w:t>t, un choix</w:t>
            </w:r>
          </w:p>
        </w:tc>
        <w:tc>
          <w:tcPr>
            <w:tcW w:w="4531" w:type="dxa"/>
          </w:tcPr>
          <w:p w:rsidR="00224BDC" w:rsidRDefault="00AD16E1">
            <w:pPr>
              <w:spacing w:after="160" w:line="259" w:lineRule="auto"/>
              <w:jc w:val="center"/>
              <w:rPr>
                <w:rFonts w:asciiTheme="minorHAnsi" w:hAnsiTheme="minorHAnsi"/>
                <w:szCs w:val="22"/>
                <w:lang w:val="fr-BE" w:eastAsia="en-US"/>
              </w:rPr>
            </w:pPr>
            <w:r>
              <w:rPr>
                <w:rFonts w:asciiTheme="minorHAnsi" w:hAnsiTheme="minorHAnsi"/>
                <w:szCs w:val="22"/>
                <w:lang w:val="fr-BE" w:eastAsia="en-US"/>
              </w:rPr>
              <w:t>CE1D 2016 (CL1)</w:t>
            </w:r>
          </w:p>
          <w:p w:rsidR="00224BDC" w:rsidRDefault="00AD16E1">
            <w:pPr>
              <w:spacing w:after="160" w:line="259" w:lineRule="auto"/>
              <w:jc w:val="center"/>
              <w:rPr>
                <w:rFonts w:asciiTheme="minorHAnsi" w:hAnsiTheme="minorHAnsi"/>
                <w:szCs w:val="22"/>
                <w:lang w:val="fr-BE" w:eastAsia="en-US"/>
              </w:rPr>
            </w:pPr>
            <w:r>
              <w:rPr>
                <w:rFonts w:asciiTheme="minorHAnsi" w:hAnsiTheme="minorHAnsi"/>
                <w:szCs w:val="22"/>
                <w:lang w:val="fr-BE" w:eastAsia="en-US"/>
              </w:rPr>
              <w:t>CE1D 2018 (CL2)</w:t>
            </w:r>
          </w:p>
        </w:tc>
      </w:tr>
      <w:tr w:rsidR="00224BDC">
        <w:trPr>
          <w:jc w:val="center"/>
        </w:trPr>
        <w:tc>
          <w:tcPr>
            <w:tcW w:w="4531" w:type="dxa"/>
          </w:tcPr>
          <w:p w:rsidR="00224BDC" w:rsidRDefault="00AD16E1">
            <w:pPr>
              <w:spacing w:after="160" w:line="259" w:lineRule="auto"/>
              <w:rPr>
                <w:rFonts w:asciiTheme="minorHAnsi" w:hAnsiTheme="minorHAnsi"/>
                <w:szCs w:val="22"/>
                <w:lang w:val="fr-BE" w:eastAsia="en-US"/>
              </w:rPr>
            </w:pPr>
            <w:r>
              <w:rPr>
                <w:rFonts w:asciiTheme="minorHAnsi" w:hAnsiTheme="minorHAnsi"/>
                <w:szCs w:val="22"/>
                <w:lang w:val="fr-BE" w:eastAsia="en-US"/>
              </w:rPr>
              <w:t>Comprendre des instructions et les lister, éventuellement dans l’ordre chronologique</w:t>
            </w:r>
          </w:p>
        </w:tc>
        <w:tc>
          <w:tcPr>
            <w:tcW w:w="4531" w:type="dxa"/>
          </w:tcPr>
          <w:p w:rsidR="00224BDC" w:rsidRDefault="00AD16E1">
            <w:pPr>
              <w:spacing w:after="160" w:line="259" w:lineRule="auto"/>
              <w:jc w:val="center"/>
              <w:rPr>
                <w:rFonts w:asciiTheme="minorHAnsi" w:hAnsiTheme="minorHAnsi"/>
                <w:szCs w:val="22"/>
                <w:lang w:val="fr-BE" w:eastAsia="en-US"/>
              </w:rPr>
            </w:pPr>
            <w:r>
              <w:rPr>
                <w:rFonts w:asciiTheme="minorHAnsi" w:hAnsiTheme="minorHAnsi"/>
                <w:szCs w:val="22"/>
                <w:lang w:val="fr-BE" w:eastAsia="en-US"/>
              </w:rPr>
              <w:t>CE1D 2017 (CA2)</w:t>
            </w:r>
          </w:p>
          <w:p w:rsidR="00224BDC" w:rsidRDefault="00224BDC">
            <w:pPr>
              <w:spacing w:after="0" w:line="259" w:lineRule="auto"/>
              <w:jc w:val="center"/>
              <w:rPr>
                <w:rFonts w:asciiTheme="minorHAnsi" w:hAnsiTheme="minorHAnsi"/>
                <w:szCs w:val="22"/>
                <w:lang w:val="fr-BE" w:eastAsia="en-US"/>
              </w:rPr>
            </w:pPr>
          </w:p>
        </w:tc>
      </w:tr>
      <w:tr w:rsidR="00224BDC">
        <w:trPr>
          <w:jc w:val="center"/>
        </w:trPr>
        <w:tc>
          <w:tcPr>
            <w:tcW w:w="4531" w:type="dxa"/>
          </w:tcPr>
          <w:p w:rsidR="00224BDC" w:rsidRDefault="00AD16E1">
            <w:pPr>
              <w:spacing w:after="160" w:line="259" w:lineRule="auto"/>
              <w:rPr>
                <w:rFonts w:asciiTheme="minorHAnsi" w:hAnsiTheme="minorHAnsi"/>
                <w:szCs w:val="22"/>
                <w:lang w:val="fr-BE" w:eastAsia="en-US"/>
              </w:rPr>
            </w:pPr>
            <w:r>
              <w:rPr>
                <w:rFonts w:asciiTheme="minorHAnsi" w:hAnsiTheme="minorHAnsi"/>
                <w:szCs w:val="22"/>
                <w:lang w:val="fr-BE" w:eastAsia="en-US"/>
              </w:rPr>
              <w:t xml:space="preserve">Comprendre et lister des conseils </w:t>
            </w:r>
          </w:p>
        </w:tc>
        <w:tc>
          <w:tcPr>
            <w:tcW w:w="4531" w:type="dxa"/>
          </w:tcPr>
          <w:p w:rsidR="00224BDC" w:rsidRDefault="00AD16E1">
            <w:pPr>
              <w:spacing w:after="160" w:line="259" w:lineRule="auto"/>
              <w:jc w:val="center"/>
              <w:rPr>
                <w:rFonts w:asciiTheme="minorHAnsi" w:hAnsiTheme="minorHAnsi"/>
                <w:szCs w:val="22"/>
                <w:lang w:val="fr-BE" w:eastAsia="en-US"/>
              </w:rPr>
            </w:pPr>
            <w:r>
              <w:rPr>
                <w:rFonts w:asciiTheme="minorHAnsi" w:hAnsiTheme="minorHAnsi"/>
                <w:szCs w:val="22"/>
                <w:lang w:val="fr-BE" w:eastAsia="en-US"/>
              </w:rPr>
              <w:t>CE1D 2016 (CA2)</w:t>
            </w:r>
          </w:p>
          <w:p w:rsidR="00224BDC" w:rsidRDefault="00AD16E1">
            <w:pPr>
              <w:spacing w:after="160" w:line="259" w:lineRule="auto"/>
              <w:jc w:val="center"/>
              <w:rPr>
                <w:rFonts w:asciiTheme="minorHAnsi" w:hAnsiTheme="minorHAnsi"/>
                <w:szCs w:val="22"/>
                <w:lang w:val="fr-BE" w:eastAsia="en-US"/>
              </w:rPr>
            </w:pPr>
            <w:r>
              <w:rPr>
                <w:rFonts w:asciiTheme="minorHAnsi" w:hAnsiTheme="minorHAnsi"/>
                <w:szCs w:val="22"/>
                <w:lang w:val="fr-BE" w:eastAsia="en-US"/>
              </w:rPr>
              <w:t>CE1D 2017 (CL2)</w:t>
            </w:r>
          </w:p>
        </w:tc>
      </w:tr>
      <w:tr w:rsidR="00224BDC">
        <w:trPr>
          <w:jc w:val="center"/>
        </w:trPr>
        <w:tc>
          <w:tcPr>
            <w:tcW w:w="4531" w:type="dxa"/>
          </w:tcPr>
          <w:p w:rsidR="00224BDC" w:rsidRDefault="00AD16E1">
            <w:pPr>
              <w:spacing w:after="160" w:line="259" w:lineRule="auto"/>
              <w:rPr>
                <w:rFonts w:asciiTheme="minorHAnsi" w:hAnsiTheme="minorHAnsi"/>
                <w:szCs w:val="22"/>
                <w:lang w:val="fr-BE" w:eastAsia="en-US"/>
              </w:rPr>
            </w:pPr>
            <w:r>
              <w:rPr>
                <w:rFonts w:asciiTheme="minorHAnsi" w:hAnsiTheme="minorHAnsi"/>
                <w:szCs w:val="22"/>
                <w:lang w:val="fr-BE" w:eastAsia="en-US"/>
              </w:rPr>
              <w:t>Comprendre et lister des avantages</w:t>
            </w:r>
          </w:p>
          <w:p w:rsidR="00224BDC" w:rsidRDefault="00224BDC">
            <w:pPr>
              <w:spacing w:after="160" w:line="259" w:lineRule="auto"/>
              <w:rPr>
                <w:rFonts w:asciiTheme="minorHAnsi" w:hAnsiTheme="minorHAnsi"/>
                <w:szCs w:val="22"/>
                <w:lang w:val="fr-BE" w:eastAsia="en-US"/>
              </w:rPr>
            </w:pPr>
          </w:p>
        </w:tc>
        <w:tc>
          <w:tcPr>
            <w:tcW w:w="4531" w:type="dxa"/>
          </w:tcPr>
          <w:p w:rsidR="00224BDC" w:rsidRDefault="00AD16E1">
            <w:pPr>
              <w:spacing w:after="160" w:line="259" w:lineRule="auto"/>
              <w:jc w:val="center"/>
              <w:rPr>
                <w:rFonts w:asciiTheme="minorHAnsi" w:hAnsiTheme="minorHAnsi"/>
                <w:szCs w:val="22"/>
                <w:lang w:val="fr-BE" w:eastAsia="en-US"/>
              </w:rPr>
            </w:pPr>
            <w:r>
              <w:rPr>
                <w:rFonts w:asciiTheme="minorHAnsi" w:hAnsiTheme="minorHAnsi"/>
                <w:szCs w:val="22"/>
                <w:lang w:val="fr-BE" w:eastAsia="en-US"/>
              </w:rPr>
              <w:t>CE1D</w:t>
            </w:r>
            <w:r>
              <w:rPr>
                <w:rFonts w:asciiTheme="minorHAnsi" w:hAnsiTheme="minorHAnsi"/>
                <w:szCs w:val="22"/>
                <w:lang w:val="fr-BE" w:eastAsia="en-US"/>
              </w:rPr>
              <w:t xml:space="preserve"> 2016 (CA1)</w:t>
            </w:r>
          </w:p>
          <w:p w:rsidR="00224BDC" w:rsidRDefault="00AD16E1">
            <w:pPr>
              <w:spacing w:after="160" w:line="259" w:lineRule="auto"/>
              <w:jc w:val="center"/>
              <w:rPr>
                <w:rFonts w:asciiTheme="minorHAnsi" w:hAnsiTheme="minorHAnsi"/>
                <w:szCs w:val="22"/>
                <w:lang w:val="fr-BE" w:eastAsia="en-US"/>
              </w:rPr>
            </w:pPr>
            <w:r>
              <w:rPr>
                <w:rFonts w:asciiTheme="minorHAnsi" w:hAnsiTheme="minorHAnsi"/>
                <w:szCs w:val="22"/>
                <w:lang w:val="fr-BE" w:eastAsia="en-US"/>
              </w:rPr>
              <w:t>CE1D 2018 (CL1)</w:t>
            </w:r>
          </w:p>
        </w:tc>
      </w:tr>
    </w:tbl>
    <w:p w:rsidR="00224BDC" w:rsidRDefault="00224BDC">
      <w:pPr>
        <w:rPr>
          <w:lang w:val="fr-BE"/>
        </w:rPr>
      </w:pPr>
    </w:p>
    <w:p w:rsidR="00224BDC" w:rsidRDefault="00AD16E1">
      <w:pPr>
        <w:spacing w:line="259" w:lineRule="auto"/>
        <w:contextualSpacing/>
        <w:rPr>
          <w:rFonts w:asciiTheme="minorHAnsi" w:hAnsiTheme="minorHAnsi" w:cs="Calibri"/>
          <w:color w:val="000000"/>
          <w:szCs w:val="22"/>
          <w:lang w:val="fr-BE" w:eastAsia="fr-BE"/>
        </w:rPr>
      </w:pPr>
      <w:r>
        <w:rPr>
          <w:rFonts w:asciiTheme="minorHAnsi" w:hAnsiTheme="minorHAnsi" w:cs="Calibri"/>
          <w:color w:val="000000"/>
          <w:szCs w:val="22"/>
          <w:lang w:val="fr-BE" w:eastAsia="fr-BE"/>
        </w:rPr>
        <w:t>Champs thématiques abordés dans les épreuves de compréhension. En caractères gras, ceux nécessaires à la résolution des tâches (</w:t>
      </w:r>
      <w:r>
        <w:rPr>
          <w:rFonts w:asciiTheme="minorHAnsi" w:hAnsiTheme="minorHAnsi"/>
          <w:szCs w:val="22"/>
          <w:lang w:val="fr-BE" w:eastAsia="en-US"/>
        </w:rPr>
        <w:t>« Essentiels et balises diagnostiques pour la rentrée 2020 »</w:t>
      </w:r>
      <w:r>
        <w:rPr>
          <w:rStyle w:val="Appelnotedebasdep"/>
          <w:rFonts w:asciiTheme="minorHAnsi" w:hAnsiTheme="minorHAnsi"/>
          <w:szCs w:val="22"/>
          <w:lang w:val="fr-BE" w:eastAsia="en-US"/>
        </w:rPr>
        <w:footnoteReference w:id="3"/>
      </w:r>
      <w:r>
        <w:rPr>
          <w:rFonts w:asciiTheme="minorHAnsi" w:hAnsiTheme="minorHAnsi"/>
          <w:szCs w:val="22"/>
          <w:lang w:val="fr-BE" w:eastAsia="en-US"/>
        </w:rPr>
        <w:t>)</w:t>
      </w:r>
      <w:r>
        <w:rPr>
          <w:rFonts w:asciiTheme="minorHAnsi" w:hAnsiTheme="minorHAnsi" w:cs="Calibri"/>
          <w:color w:val="000000"/>
          <w:szCs w:val="22"/>
          <w:lang w:val="fr-BE" w:eastAsia="fr-BE"/>
        </w:rPr>
        <w:t> :</w:t>
      </w:r>
    </w:p>
    <w:p w:rsidR="00224BDC" w:rsidRDefault="00224BDC">
      <w:pPr>
        <w:spacing w:line="259" w:lineRule="auto"/>
        <w:contextualSpacing/>
        <w:rPr>
          <w:rFonts w:asciiTheme="minorHAnsi" w:hAnsiTheme="minorHAnsi" w:cs="Calibri"/>
          <w:color w:val="000000"/>
          <w:szCs w:val="22"/>
          <w:lang w:val="fr-BE" w:eastAsia="fr-BE"/>
        </w:rPr>
      </w:pPr>
    </w:p>
    <w:tbl>
      <w:tblPr>
        <w:tblStyle w:val="Grilledutableau1"/>
        <w:tblW w:w="9067" w:type="dxa"/>
        <w:jc w:val="center"/>
        <w:tblInd w:w="0" w:type="dxa"/>
        <w:tblLook w:val="04A0" w:firstRow="1" w:lastRow="0" w:firstColumn="1" w:lastColumn="0" w:noHBand="0" w:noVBand="1"/>
      </w:tblPr>
      <w:tblGrid>
        <w:gridCol w:w="4531"/>
        <w:gridCol w:w="4536"/>
      </w:tblGrid>
      <w:tr w:rsidR="00224BDC">
        <w:trPr>
          <w:tblHeader/>
          <w:jc w:val="center"/>
        </w:trPr>
        <w:tc>
          <w:tcPr>
            <w:tcW w:w="4531" w:type="dxa"/>
            <w:shd w:val="clear" w:color="auto" w:fill="D9D9D9" w:themeFill="background1" w:themeFillShade="D9"/>
          </w:tcPr>
          <w:p w:rsidR="00224BDC" w:rsidRDefault="00AD16E1">
            <w:pPr>
              <w:spacing w:after="160" w:line="259" w:lineRule="auto"/>
              <w:jc w:val="center"/>
              <w:rPr>
                <w:rFonts w:asciiTheme="minorHAnsi" w:hAnsiTheme="minorHAnsi" w:cs="Calibri"/>
                <w:b/>
                <w:szCs w:val="22"/>
                <w:highlight w:val="yellow"/>
                <w:lang w:val="fr-BE" w:eastAsia="en-US"/>
              </w:rPr>
            </w:pPr>
            <w:r>
              <w:rPr>
                <w:rFonts w:asciiTheme="minorHAnsi" w:hAnsiTheme="minorHAnsi" w:cs="Calibri"/>
                <w:b/>
                <w:szCs w:val="22"/>
                <w:lang w:val="fr-BE" w:eastAsia="en-US"/>
              </w:rPr>
              <w:t>Compréhension à l’audition</w:t>
            </w:r>
          </w:p>
        </w:tc>
        <w:tc>
          <w:tcPr>
            <w:tcW w:w="4536" w:type="dxa"/>
            <w:shd w:val="clear" w:color="auto" w:fill="D9D9D9" w:themeFill="background1" w:themeFillShade="D9"/>
          </w:tcPr>
          <w:p w:rsidR="00224BDC" w:rsidRDefault="00AD16E1">
            <w:pPr>
              <w:spacing w:after="160" w:line="259" w:lineRule="auto"/>
              <w:jc w:val="center"/>
              <w:rPr>
                <w:rFonts w:asciiTheme="minorHAnsi" w:hAnsiTheme="minorHAnsi" w:cs="Calibri"/>
                <w:b/>
                <w:szCs w:val="22"/>
                <w:lang w:val="fr-BE" w:eastAsia="en-US"/>
              </w:rPr>
            </w:pPr>
            <w:r>
              <w:rPr>
                <w:rFonts w:asciiTheme="minorHAnsi" w:hAnsiTheme="minorHAnsi" w:cs="Calibri"/>
                <w:b/>
                <w:szCs w:val="22"/>
                <w:lang w:val="fr-BE" w:eastAsia="en-US"/>
              </w:rPr>
              <w:t>Compr</w:t>
            </w:r>
            <w:r>
              <w:rPr>
                <w:rFonts w:asciiTheme="minorHAnsi" w:hAnsiTheme="minorHAnsi" w:cs="Calibri"/>
                <w:b/>
                <w:szCs w:val="22"/>
                <w:lang w:val="fr-BE" w:eastAsia="en-US"/>
              </w:rPr>
              <w:t>éhension à la lecture</w:t>
            </w:r>
          </w:p>
        </w:tc>
      </w:tr>
      <w:tr w:rsidR="00224BDC">
        <w:trPr>
          <w:jc w:val="center"/>
        </w:trPr>
        <w:tc>
          <w:tcPr>
            <w:tcW w:w="4531" w:type="dxa"/>
          </w:tcPr>
          <w:p w:rsidR="00224BDC" w:rsidRDefault="00AD16E1">
            <w:pPr>
              <w:spacing w:after="160" w:line="259" w:lineRule="auto"/>
              <w:jc w:val="left"/>
              <w:rPr>
                <w:rFonts w:asciiTheme="minorHAnsi" w:hAnsiTheme="minorHAnsi" w:cs="Calibri"/>
                <w:color w:val="000000" w:themeColor="text1"/>
                <w:szCs w:val="22"/>
                <w:lang w:val="fr-BE" w:eastAsia="en-US"/>
              </w:rPr>
            </w:pPr>
            <w:r>
              <w:rPr>
                <w:rFonts w:asciiTheme="minorHAnsi" w:hAnsiTheme="minorHAnsi" w:cs="Calibri"/>
                <w:color w:val="000000" w:themeColor="text1"/>
                <w:szCs w:val="22"/>
                <w:lang w:val="fr-BE" w:eastAsia="en-US"/>
              </w:rPr>
              <w:t>1. Caractérisation personnelle (identité : nom, âge, composition de la famille proche, aspect physique : caractéristiques générales et courantes)</w:t>
            </w:r>
          </w:p>
          <w:p w:rsidR="00224BDC" w:rsidRDefault="00AD16E1">
            <w:pPr>
              <w:spacing w:after="160" w:line="259" w:lineRule="auto"/>
              <w:jc w:val="left"/>
              <w:rPr>
                <w:rFonts w:asciiTheme="minorHAnsi" w:hAnsiTheme="minorHAnsi" w:cs="Calibri"/>
                <w:color w:val="000000" w:themeColor="text1"/>
                <w:szCs w:val="22"/>
                <w:lang w:val="fr-BE" w:eastAsia="en-US"/>
              </w:rPr>
            </w:pPr>
            <w:r>
              <w:rPr>
                <w:rFonts w:asciiTheme="minorHAnsi" w:hAnsiTheme="minorHAnsi" w:cs="Calibri"/>
                <w:color w:val="000000" w:themeColor="text1"/>
                <w:szCs w:val="22"/>
                <w:lang w:val="fr-BE" w:eastAsia="en-US"/>
              </w:rPr>
              <w:t>2. Habitat, environnement (</w:t>
            </w:r>
            <w:r>
              <w:rPr>
                <w:rFonts w:asciiTheme="minorHAnsi" w:hAnsiTheme="minorHAnsi" w:cs="Calibri"/>
                <w:b/>
                <w:bCs/>
                <w:color w:val="000000" w:themeColor="text1"/>
                <w:szCs w:val="22"/>
                <w:lang w:val="fr-BE" w:eastAsia="en-US"/>
              </w:rPr>
              <w:t>éléments constitutifs d’un bâtiment</w:t>
            </w:r>
            <w:r>
              <w:rPr>
                <w:rFonts w:asciiTheme="minorHAnsi" w:hAnsiTheme="minorHAnsi" w:cs="Calibri"/>
                <w:color w:val="000000" w:themeColor="text1"/>
                <w:szCs w:val="22"/>
                <w:lang w:val="fr-BE" w:eastAsia="en-US"/>
              </w:rPr>
              <w:t>, les pièces, mobilier de</w:t>
            </w:r>
            <w:r>
              <w:rPr>
                <w:rFonts w:asciiTheme="minorHAnsi" w:hAnsiTheme="minorHAnsi" w:cs="Calibri"/>
                <w:color w:val="000000" w:themeColor="text1"/>
                <w:szCs w:val="22"/>
                <w:lang w:val="fr-BE" w:eastAsia="en-US"/>
              </w:rPr>
              <w:t xml:space="preserve"> base, bâtiments publics)</w:t>
            </w:r>
          </w:p>
          <w:p w:rsidR="00224BDC" w:rsidRDefault="00224BDC">
            <w:pPr>
              <w:spacing w:after="160" w:line="259" w:lineRule="auto"/>
              <w:jc w:val="left"/>
              <w:rPr>
                <w:rFonts w:asciiTheme="minorHAnsi" w:hAnsiTheme="minorHAnsi" w:cs="Calibri"/>
                <w:color w:val="000000" w:themeColor="text1"/>
                <w:szCs w:val="22"/>
                <w:lang w:val="fr-BE" w:eastAsia="en-US"/>
              </w:rPr>
            </w:pPr>
          </w:p>
          <w:p w:rsidR="00224BDC" w:rsidRDefault="00AD16E1">
            <w:pPr>
              <w:spacing w:after="160" w:line="259" w:lineRule="auto"/>
              <w:jc w:val="left"/>
              <w:rPr>
                <w:rFonts w:asciiTheme="minorHAnsi" w:hAnsiTheme="minorHAnsi" w:cs="Calibri"/>
                <w:b/>
                <w:color w:val="000000" w:themeColor="text1"/>
                <w:szCs w:val="22"/>
                <w:lang w:val="fr-BE" w:eastAsia="en-US"/>
              </w:rPr>
            </w:pPr>
            <w:r>
              <w:rPr>
                <w:rFonts w:asciiTheme="minorHAnsi" w:hAnsiTheme="minorHAnsi" w:cs="Calibri"/>
                <w:color w:val="000000" w:themeColor="text1"/>
                <w:szCs w:val="22"/>
                <w:lang w:val="fr-BE" w:eastAsia="en-US"/>
              </w:rPr>
              <w:t xml:space="preserve">3. </w:t>
            </w:r>
            <w:r>
              <w:rPr>
                <w:rFonts w:asciiTheme="minorHAnsi" w:hAnsiTheme="minorHAnsi" w:cs="Calibri"/>
                <w:b/>
                <w:bCs/>
                <w:color w:val="000000" w:themeColor="text1"/>
                <w:szCs w:val="22"/>
                <w:lang w:val="fr-BE" w:eastAsia="en-US"/>
              </w:rPr>
              <w:t xml:space="preserve">Vie quotidienne </w:t>
            </w:r>
            <w:r>
              <w:rPr>
                <w:rFonts w:asciiTheme="minorHAnsi" w:hAnsiTheme="minorHAnsi" w:cs="Calibri"/>
                <w:bCs/>
                <w:color w:val="000000" w:themeColor="text1"/>
                <w:szCs w:val="22"/>
                <w:lang w:val="fr-BE" w:eastAsia="en-US"/>
              </w:rPr>
              <w:t>(</w:t>
            </w:r>
            <w:r>
              <w:rPr>
                <w:rFonts w:asciiTheme="minorHAnsi" w:hAnsiTheme="minorHAnsi" w:cs="Calibri"/>
                <w:b/>
                <w:bCs/>
                <w:color w:val="000000" w:themeColor="text1"/>
                <w:szCs w:val="22"/>
                <w:lang w:val="fr-BE" w:eastAsia="en-US"/>
              </w:rPr>
              <w:t>activités routinières</w:t>
            </w:r>
            <w:r>
              <w:rPr>
                <w:rFonts w:asciiTheme="minorHAnsi" w:hAnsiTheme="minorHAnsi" w:cs="Calibri"/>
                <w:b/>
                <w:color w:val="000000" w:themeColor="text1"/>
                <w:szCs w:val="22"/>
                <w:lang w:val="fr-BE" w:eastAsia="en-US"/>
              </w:rPr>
              <w:t xml:space="preserve">, </w:t>
            </w:r>
            <w:r>
              <w:rPr>
                <w:rFonts w:asciiTheme="minorHAnsi" w:hAnsiTheme="minorHAnsi" w:cs="Calibri"/>
                <w:bCs/>
                <w:color w:val="000000" w:themeColor="text1"/>
                <w:szCs w:val="22"/>
                <w:lang w:val="fr-BE" w:eastAsia="en-US"/>
              </w:rPr>
              <w:t>fêtes</w:t>
            </w:r>
            <w:r>
              <w:rPr>
                <w:rFonts w:asciiTheme="minorHAnsi" w:hAnsiTheme="minorHAnsi" w:cs="Calibri"/>
                <w:color w:val="000000" w:themeColor="text1"/>
                <w:szCs w:val="22"/>
                <w:lang w:val="fr-BE" w:eastAsia="en-US"/>
              </w:rPr>
              <w:t>)</w:t>
            </w:r>
          </w:p>
          <w:p w:rsidR="00224BDC" w:rsidRDefault="00AD16E1">
            <w:pPr>
              <w:spacing w:after="160" w:line="259" w:lineRule="auto"/>
              <w:jc w:val="left"/>
              <w:rPr>
                <w:rFonts w:asciiTheme="minorHAnsi" w:hAnsiTheme="minorHAnsi" w:cs="Calibri"/>
                <w:color w:val="000000" w:themeColor="text1"/>
                <w:szCs w:val="22"/>
                <w:lang w:val="fr-BE" w:eastAsia="en-US"/>
              </w:rPr>
            </w:pPr>
            <w:r>
              <w:rPr>
                <w:rFonts w:asciiTheme="minorHAnsi" w:hAnsiTheme="minorHAnsi" w:cs="Calibri"/>
                <w:color w:val="000000" w:themeColor="text1"/>
                <w:szCs w:val="22"/>
                <w:lang w:val="fr-BE" w:eastAsia="en-US"/>
              </w:rPr>
              <w:t>4. Loisirs (4.1</w:t>
            </w:r>
            <w:r>
              <w:rPr>
                <w:rFonts w:asciiTheme="minorHAnsi" w:hAnsiTheme="minorHAnsi" w:cs="Calibri"/>
                <w:b/>
                <w:color w:val="000000" w:themeColor="text1"/>
                <w:szCs w:val="22"/>
                <w:lang w:val="fr-BE" w:eastAsia="en-US"/>
              </w:rPr>
              <w:t xml:space="preserve"> Activités culturelles : lieux liés à la culture </w:t>
            </w:r>
            <w:r>
              <w:rPr>
                <w:rFonts w:asciiTheme="minorHAnsi" w:hAnsiTheme="minorHAnsi" w:cs="Calibri"/>
                <w:color w:val="000000" w:themeColor="text1"/>
                <w:szCs w:val="22"/>
                <w:lang w:val="fr-BE" w:eastAsia="en-US"/>
              </w:rPr>
              <w:t xml:space="preserve">; 4.2 </w:t>
            </w:r>
            <w:r>
              <w:rPr>
                <w:rFonts w:asciiTheme="minorHAnsi" w:hAnsiTheme="minorHAnsi" w:cs="Calibri"/>
                <w:bCs/>
                <w:color w:val="000000" w:themeColor="text1"/>
                <w:szCs w:val="22"/>
                <w:lang w:val="fr-BE" w:eastAsia="en-US"/>
              </w:rPr>
              <w:t>Sports</w:t>
            </w:r>
            <w:r>
              <w:rPr>
                <w:rFonts w:asciiTheme="minorHAnsi" w:hAnsiTheme="minorHAnsi" w:cs="Calibri"/>
                <w:b/>
                <w:bCs/>
                <w:color w:val="000000" w:themeColor="text1"/>
                <w:szCs w:val="22"/>
                <w:lang w:val="fr-BE" w:eastAsia="en-US"/>
              </w:rPr>
              <w:t xml:space="preserve"> et loisirs :</w:t>
            </w:r>
            <w:r>
              <w:rPr>
                <w:rFonts w:asciiTheme="minorHAnsi" w:hAnsiTheme="minorHAnsi" w:cs="Calibri"/>
                <w:color w:val="000000" w:themeColor="text1"/>
                <w:szCs w:val="22"/>
                <w:lang w:val="fr-BE" w:eastAsia="en-US"/>
              </w:rPr>
              <w:t xml:space="preserve"> </w:t>
            </w:r>
            <w:r>
              <w:rPr>
                <w:rFonts w:asciiTheme="minorHAnsi" w:hAnsiTheme="minorHAnsi" w:cs="Calibri"/>
                <w:b/>
                <w:color w:val="000000" w:themeColor="text1"/>
                <w:szCs w:val="22"/>
                <w:lang w:val="fr-BE" w:eastAsia="en-US"/>
              </w:rPr>
              <w:t xml:space="preserve">noms de sports et de loisirs, activités liées aux loisirs ; </w:t>
            </w:r>
            <w:r>
              <w:rPr>
                <w:rFonts w:asciiTheme="minorHAnsi" w:hAnsiTheme="minorHAnsi" w:cs="Calibri"/>
                <w:bCs/>
                <w:color w:val="000000" w:themeColor="text1"/>
                <w:szCs w:val="22"/>
                <w:lang w:val="fr-BE" w:eastAsia="en-US"/>
              </w:rPr>
              <w:t>4.3 Technologies de l’informa</w:t>
            </w:r>
            <w:r>
              <w:rPr>
                <w:rFonts w:asciiTheme="minorHAnsi" w:hAnsiTheme="minorHAnsi" w:cs="Calibri"/>
                <w:bCs/>
                <w:color w:val="000000" w:themeColor="text1"/>
                <w:szCs w:val="22"/>
                <w:lang w:val="fr-BE" w:eastAsia="en-US"/>
              </w:rPr>
              <w:t>tion et de la communication, médias : quelques noms d’outils numériques</w:t>
            </w:r>
            <w:r>
              <w:rPr>
                <w:rFonts w:asciiTheme="minorHAnsi" w:hAnsiTheme="minorHAnsi" w:cs="Calibri"/>
                <w:color w:val="000000" w:themeColor="text1"/>
                <w:szCs w:val="22"/>
                <w:lang w:val="fr-BE" w:eastAsia="en-US"/>
              </w:rPr>
              <w:t>)</w:t>
            </w:r>
          </w:p>
          <w:p w:rsidR="00224BDC" w:rsidRDefault="00AD16E1">
            <w:pPr>
              <w:spacing w:after="160" w:line="259" w:lineRule="auto"/>
              <w:jc w:val="left"/>
              <w:rPr>
                <w:rFonts w:asciiTheme="minorHAnsi" w:hAnsiTheme="minorHAnsi" w:cs="Calibri"/>
                <w:color w:val="000000" w:themeColor="text1"/>
                <w:szCs w:val="22"/>
                <w:lang w:val="fr-BE" w:eastAsia="en-US"/>
              </w:rPr>
            </w:pPr>
            <w:r>
              <w:rPr>
                <w:rFonts w:asciiTheme="minorHAnsi" w:hAnsiTheme="minorHAnsi" w:cs="Calibri"/>
                <w:color w:val="000000" w:themeColor="text1"/>
                <w:szCs w:val="22"/>
                <w:lang w:val="fr-BE" w:eastAsia="en-US"/>
              </w:rPr>
              <w:t xml:space="preserve">5. Voyages (5.1 Transports et déplacements : </w:t>
            </w:r>
            <w:r>
              <w:rPr>
                <w:rFonts w:asciiTheme="minorHAnsi" w:hAnsiTheme="minorHAnsi" w:cs="Calibri"/>
                <w:b/>
                <w:color w:val="000000" w:themeColor="text1"/>
                <w:szCs w:val="22"/>
                <w:lang w:val="fr-BE" w:eastAsia="en-US"/>
              </w:rPr>
              <w:t>moyens de transport</w:t>
            </w:r>
            <w:r>
              <w:rPr>
                <w:rFonts w:asciiTheme="minorHAnsi" w:hAnsiTheme="minorHAnsi" w:cs="Calibri"/>
                <w:color w:val="000000" w:themeColor="text1"/>
                <w:szCs w:val="22"/>
                <w:lang w:val="fr-BE" w:eastAsia="en-US"/>
              </w:rPr>
              <w:t>, lieux liés au transport)</w:t>
            </w:r>
          </w:p>
          <w:p w:rsidR="00224BDC" w:rsidRDefault="00224BDC">
            <w:pPr>
              <w:spacing w:after="160" w:line="259" w:lineRule="auto"/>
              <w:jc w:val="left"/>
              <w:rPr>
                <w:rFonts w:asciiTheme="minorHAnsi" w:hAnsiTheme="minorHAnsi" w:cs="Calibri"/>
                <w:color w:val="000000" w:themeColor="text1"/>
                <w:szCs w:val="22"/>
                <w:lang w:val="fr-BE" w:eastAsia="en-US"/>
              </w:rPr>
            </w:pPr>
          </w:p>
          <w:p w:rsidR="00224BDC" w:rsidRDefault="00224BDC">
            <w:pPr>
              <w:spacing w:after="160" w:line="259" w:lineRule="auto"/>
              <w:jc w:val="left"/>
              <w:rPr>
                <w:rFonts w:asciiTheme="minorHAnsi" w:hAnsiTheme="minorHAnsi" w:cs="Calibri"/>
                <w:color w:val="000000" w:themeColor="text1"/>
                <w:szCs w:val="22"/>
                <w:lang w:val="fr-BE" w:eastAsia="en-US"/>
              </w:rPr>
            </w:pPr>
          </w:p>
          <w:p w:rsidR="00224BDC" w:rsidRDefault="00224BDC">
            <w:pPr>
              <w:spacing w:after="160" w:line="259" w:lineRule="auto"/>
              <w:jc w:val="left"/>
              <w:rPr>
                <w:rFonts w:asciiTheme="minorHAnsi" w:hAnsiTheme="minorHAnsi" w:cs="Calibri"/>
                <w:color w:val="000000" w:themeColor="text1"/>
                <w:szCs w:val="22"/>
                <w:lang w:val="fr-BE" w:eastAsia="en-US"/>
              </w:rPr>
            </w:pPr>
          </w:p>
          <w:p w:rsidR="00224BDC" w:rsidRDefault="00224BDC">
            <w:pPr>
              <w:spacing w:after="160" w:line="259" w:lineRule="auto"/>
              <w:jc w:val="left"/>
              <w:rPr>
                <w:rFonts w:asciiTheme="minorHAnsi" w:hAnsiTheme="minorHAnsi" w:cs="Calibri"/>
                <w:color w:val="000000" w:themeColor="text1"/>
                <w:szCs w:val="22"/>
                <w:lang w:val="fr-BE" w:eastAsia="en-US"/>
              </w:rPr>
            </w:pPr>
          </w:p>
          <w:p w:rsidR="00224BDC" w:rsidRDefault="00AD16E1">
            <w:pPr>
              <w:spacing w:after="160" w:line="259" w:lineRule="auto"/>
              <w:jc w:val="left"/>
              <w:rPr>
                <w:rFonts w:asciiTheme="minorHAnsi" w:hAnsiTheme="minorHAnsi" w:cs="Calibri"/>
                <w:color w:val="000000" w:themeColor="text1"/>
                <w:szCs w:val="22"/>
                <w:lang w:val="fr-BE" w:eastAsia="en-US"/>
              </w:rPr>
            </w:pPr>
            <w:r>
              <w:rPr>
                <w:rFonts w:asciiTheme="minorHAnsi" w:hAnsiTheme="minorHAnsi" w:cs="Calibri"/>
                <w:color w:val="000000" w:themeColor="text1"/>
                <w:szCs w:val="22"/>
                <w:lang w:val="fr-BE" w:eastAsia="en-US"/>
              </w:rPr>
              <w:t>6. Relations avec les autres (</w:t>
            </w:r>
            <w:r>
              <w:rPr>
                <w:rFonts w:asciiTheme="minorHAnsi" w:hAnsiTheme="minorHAnsi" w:cs="Calibri"/>
                <w:b/>
                <w:bCs/>
                <w:color w:val="000000" w:themeColor="text1"/>
                <w:szCs w:val="22"/>
                <w:lang w:val="fr-BE" w:eastAsia="en-US"/>
              </w:rPr>
              <w:t>actions liées aux relations avec l’entourage</w:t>
            </w:r>
            <w:r>
              <w:rPr>
                <w:rFonts w:asciiTheme="minorHAnsi" w:hAnsiTheme="minorHAnsi" w:cs="Calibri"/>
                <w:color w:val="000000" w:themeColor="text1"/>
                <w:szCs w:val="22"/>
                <w:lang w:val="fr-BE" w:eastAsia="en-US"/>
              </w:rPr>
              <w:t>)</w:t>
            </w:r>
          </w:p>
          <w:p w:rsidR="00224BDC" w:rsidRDefault="00AD16E1">
            <w:pPr>
              <w:spacing w:after="160" w:line="259" w:lineRule="auto"/>
              <w:jc w:val="left"/>
              <w:rPr>
                <w:rFonts w:asciiTheme="minorHAnsi" w:hAnsiTheme="minorHAnsi" w:cs="Calibri"/>
                <w:color w:val="000000" w:themeColor="text1"/>
                <w:szCs w:val="22"/>
                <w:lang w:val="fr-BE" w:eastAsia="en-US"/>
              </w:rPr>
            </w:pPr>
            <w:r>
              <w:rPr>
                <w:rFonts w:asciiTheme="minorHAnsi" w:hAnsiTheme="minorHAnsi" w:cs="Calibri"/>
                <w:color w:val="000000" w:themeColor="text1"/>
                <w:szCs w:val="22"/>
                <w:lang w:val="fr-BE" w:eastAsia="en-US"/>
              </w:rPr>
              <w:t xml:space="preserve">7. Santé et </w:t>
            </w:r>
            <w:r>
              <w:rPr>
                <w:rFonts w:asciiTheme="minorHAnsi" w:hAnsiTheme="minorHAnsi" w:cs="Calibri"/>
                <w:color w:val="000000" w:themeColor="text1"/>
                <w:szCs w:val="22"/>
                <w:lang w:val="fr-BE" w:eastAsia="en-US"/>
              </w:rPr>
              <w:t>bienêtre (principales parties du corps, maux et humeur)</w:t>
            </w:r>
          </w:p>
          <w:p w:rsidR="00224BDC" w:rsidRDefault="00AD16E1">
            <w:pPr>
              <w:spacing w:after="160" w:line="259" w:lineRule="auto"/>
              <w:jc w:val="left"/>
              <w:rPr>
                <w:rFonts w:asciiTheme="minorHAnsi" w:hAnsiTheme="minorHAnsi" w:cs="Calibri"/>
                <w:color w:val="000000" w:themeColor="text1"/>
                <w:szCs w:val="22"/>
                <w:lang w:val="fr-BE" w:eastAsia="en-US"/>
              </w:rPr>
            </w:pPr>
            <w:r>
              <w:rPr>
                <w:rFonts w:asciiTheme="minorHAnsi" w:hAnsiTheme="minorHAnsi" w:cs="Calibri"/>
                <w:color w:val="000000" w:themeColor="text1"/>
                <w:szCs w:val="22"/>
                <w:lang w:val="fr-BE" w:eastAsia="en-US"/>
              </w:rPr>
              <w:t xml:space="preserve">8. Enseignement et apprentissage (lieux liés à la vie scolaire, </w:t>
            </w:r>
            <w:r>
              <w:rPr>
                <w:rFonts w:asciiTheme="minorHAnsi" w:hAnsiTheme="minorHAnsi" w:cs="Calibri"/>
                <w:b/>
                <w:color w:val="000000" w:themeColor="text1"/>
                <w:szCs w:val="22"/>
                <w:lang w:val="fr-BE" w:eastAsia="en-US"/>
              </w:rPr>
              <w:t>activités liées à la vie scolaire</w:t>
            </w:r>
            <w:r>
              <w:rPr>
                <w:rFonts w:asciiTheme="minorHAnsi" w:hAnsiTheme="minorHAnsi" w:cs="Calibri"/>
                <w:color w:val="000000" w:themeColor="text1"/>
                <w:szCs w:val="22"/>
                <w:lang w:val="fr-BE" w:eastAsia="en-US"/>
              </w:rPr>
              <w:t>)</w:t>
            </w:r>
          </w:p>
          <w:p w:rsidR="00224BDC" w:rsidRDefault="00AD16E1">
            <w:pPr>
              <w:spacing w:after="160" w:line="259" w:lineRule="auto"/>
              <w:jc w:val="left"/>
              <w:rPr>
                <w:rFonts w:asciiTheme="minorHAnsi" w:hAnsiTheme="minorHAnsi" w:cs="Calibri"/>
                <w:color w:val="000000" w:themeColor="text1"/>
                <w:szCs w:val="22"/>
                <w:lang w:val="fr-BE" w:eastAsia="en-US"/>
              </w:rPr>
            </w:pPr>
            <w:r>
              <w:rPr>
                <w:rFonts w:asciiTheme="minorHAnsi" w:hAnsiTheme="minorHAnsi" w:cs="Calibri"/>
                <w:color w:val="000000" w:themeColor="text1"/>
                <w:szCs w:val="22"/>
                <w:lang w:val="fr-BE" w:eastAsia="en-US"/>
              </w:rPr>
              <w:t>10. Nourriture et boissons (</w:t>
            </w:r>
            <w:r>
              <w:rPr>
                <w:rFonts w:asciiTheme="minorHAnsi" w:hAnsiTheme="minorHAnsi" w:cs="Calibri"/>
                <w:b/>
                <w:color w:val="000000" w:themeColor="text1"/>
                <w:szCs w:val="22"/>
                <w:lang w:val="fr-BE" w:eastAsia="en-US"/>
              </w:rPr>
              <w:t>boissons et aliments courants</w:t>
            </w:r>
            <w:r>
              <w:rPr>
                <w:rFonts w:asciiTheme="minorHAnsi" w:hAnsiTheme="minorHAnsi" w:cs="Calibri"/>
                <w:color w:val="000000" w:themeColor="text1"/>
                <w:szCs w:val="22"/>
                <w:lang w:val="fr-BE" w:eastAsia="en-US"/>
              </w:rPr>
              <w:t>, repas, lieux et actions liés à la nourritu</w:t>
            </w:r>
            <w:r>
              <w:rPr>
                <w:rFonts w:asciiTheme="minorHAnsi" w:hAnsiTheme="minorHAnsi" w:cs="Calibri"/>
                <w:color w:val="000000" w:themeColor="text1"/>
                <w:szCs w:val="22"/>
                <w:lang w:val="fr-BE" w:eastAsia="en-US"/>
              </w:rPr>
              <w:t>re)</w:t>
            </w:r>
          </w:p>
          <w:p w:rsidR="00224BDC" w:rsidRDefault="00AD16E1">
            <w:pPr>
              <w:spacing w:after="160" w:line="259" w:lineRule="auto"/>
              <w:jc w:val="left"/>
              <w:rPr>
                <w:rFonts w:asciiTheme="minorHAnsi" w:hAnsiTheme="minorHAnsi" w:cs="Calibri"/>
                <w:color w:val="000000" w:themeColor="text1"/>
                <w:szCs w:val="22"/>
                <w:lang w:val="fr-BE" w:eastAsia="en-US"/>
              </w:rPr>
            </w:pPr>
            <w:r>
              <w:rPr>
                <w:rFonts w:asciiTheme="minorHAnsi" w:hAnsiTheme="minorHAnsi" w:cs="Calibri"/>
                <w:color w:val="000000" w:themeColor="text1"/>
                <w:szCs w:val="22"/>
                <w:lang w:val="fr-BE" w:eastAsia="en-US"/>
              </w:rPr>
              <w:t>11. Météo et climat (le temps qu’il fait)</w:t>
            </w:r>
          </w:p>
          <w:p w:rsidR="00224BDC" w:rsidRDefault="00AD16E1">
            <w:pPr>
              <w:spacing w:after="160" w:line="259" w:lineRule="auto"/>
              <w:jc w:val="left"/>
              <w:rPr>
                <w:rFonts w:asciiTheme="minorHAnsi" w:hAnsiTheme="minorHAnsi" w:cs="Calibri"/>
                <w:color w:val="000000" w:themeColor="text1"/>
                <w:szCs w:val="22"/>
                <w:lang w:val="fr-BE" w:eastAsia="en-US"/>
              </w:rPr>
            </w:pPr>
            <w:r>
              <w:rPr>
                <w:rFonts w:asciiTheme="minorHAnsi" w:hAnsiTheme="minorHAnsi" w:cs="Calibri"/>
                <w:color w:val="000000" w:themeColor="text1"/>
                <w:szCs w:val="22"/>
                <w:lang w:val="fr-BE" w:eastAsia="en-US"/>
              </w:rPr>
              <w:t>12. Division du temps (</w:t>
            </w:r>
            <w:r>
              <w:rPr>
                <w:rFonts w:asciiTheme="minorHAnsi" w:hAnsiTheme="minorHAnsi" w:cs="Calibri"/>
                <w:b/>
                <w:color w:val="000000" w:themeColor="text1"/>
                <w:szCs w:val="22"/>
                <w:lang w:val="fr-BE" w:eastAsia="en-US"/>
              </w:rPr>
              <w:t>unité de temps, fréquence</w:t>
            </w:r>
            <w:r>
              <w:rPr>
                <w:rFonts w:asciiTheme="minorHAnsi" w:hAnsiTheme="minorHAnsi" w:cs="Calibri"/>
                <w:color w:val="000000" w:themeColor="text1"/>
                <w:szCs w:val="22"/>
                <w:lang w:val="fr-BE" w:eastAsia="en-US"/>
              </w:rPr>
              <w:t xml:space="preserve"> </w:t>
            </w:r>
            <w:r>
              <w:rPr>
                <w:rFonts w:asciiTheme="minorHAnsi" w:hAnsiTheme="minorHAnsi" w:cs="Calibri"/>
                <w:b/>
                <w:bCs/>
                <w:color w:val="000000" w:themeColor="text1"/>
                <w:szCs w:val="22"/>
                <w:lang w:val="fr-BE" w:eastAsia="en-US"/>
              </w:rPr>
              <w:t>des évènements</w:t>
            </w:r>
            <w:r>
              <w:rPr>
                <w:rFonts w:asciiTheme="minorHAnsi" w:hAnsiTheme="minorHAnsi" w:cs="Calibri"/>
                <w:color w:val="000000" w:themeColor="text1"/>
                <w:szCs w:val="22"/>
                <w:lang w:val="fr-BE" w:eastAsia="en-US"/>
              </w:rPr>
              <w:t xml:space="preserve">, évènements qui jalonnent une journée/une année et </w:t>
            </w:r>
            <w:r>
              <w:rPr>
                <w:rFonts w:asciiTheme="minorHAnsi" w:hAnsiTheme="minorHAnsi" w:cs="Calibri"/>
                <w:b/>
                <w:color w:val="000000" w:themeColor="text1"/>
                <w:szCs w:val="22"/>
                <w:lang w:val="fr-BE" w:eastAsia="en-US"/>
              </w:rPr>
              <w:t>heure</w:t>
            </w:r>
            <w:r>
              <w:rPr>
                <w:rFonts w:asciiTheme="minorHAnsi" w:hAnsiTheme="minorHAnsi" w:cs="Calibri"/>
                <w:color w:val="000000" w:themeColor="text1"/>
                <w:szCs w:val="22"/>
                <w:lang w:val="fr-BE" w:eastAsia="en-US"/>
              </w:rPr>
              <w:t>)</w:t>
            </w:r>
          </w:p>
        </w:tc>
        <w:tc>
          <w:tcPr>
            <w:tcW w:w="4536" w:type="dxa"/>
          </w:tcPr>
          <w:p w:rsidR="00224BDC" w:rsidRDefault="00AD16E1">
            <w:pPr>
              <w:spacing w:after="160" w:line="259" w:lineRule="auto"/>
              <w:jc w:val="left"/>
              <w:rPr>
                <w:rFonts w:asciiTheme="minorHAnsi" w:hAnsiTheme="minorHAnsi" w:cs="Calibri"/>
                <w:color w:val="000000" w:themeColor="text1"/>
                <w:szCs w:val="22"/>
                <w:lang w:val="fr-BE" w:eastAsia="en-US"/>
              </w:rPr>
            </w:pPr>
            <w:r>
              <w:rPr>
                <w:rFonts w:asciiTheme="minorHAnsi" w:hAnsiTheme="minorHAnsi" w:cs="Calibri"/>
                <w:color w:val="000000" w:themeColor="text1"/>
                <w:szCs w:val="22"/>
                <w:lang w:val="fr-BE" w:eastAsia="en-US"/>
              </w:rPr>
              <w:lastRenderedPageBreak/>
              <w:t>1. Caractérisation personnelle (identité : nom, âge, composition de la famille proche et</w:t>
            </w:r>
            <w:r>
              <w:rPr>
                <w:rFonts w:asciiTheme="minorHAnsi" w:hAnsiTheme="minorHAnsi" w:cs="Calibri"/>
                <w:color w:val="000000" w:themeColor="text1"/>
                <w:szCs w:val="22"/>
                <w:lang w:val="fr-BE" w:eastAsia="en-US"/>
              </w:rPr>
              <w:t xml:space="preserve"> élargie, quelques noms de métiers courants, lieu d’habitation)</w:t>
            </w:r>
          </w:p>
          <w:p w:rsidR="00224BDC" w:rsidRDefault="00224BDC">
            <w:pPr>
              <w:spacing w:after="160" w:line="259" w:lineRule="auto"/>
              <w:jc w:val="left"/>
              <w:rPr>
                <w:rFonts w:asciiTheme="minorHAnsi" w:hAnsiTheme="minorHAnsi" w:cs="Calibri"/>
                <w:color w:val="000000" w:themeColor="text1"/>
                <w:szCs w:val="22"/>
                <w:lang w:val="fr-BE" w:eastAsia="en-US"/>
              </w:rPr>
            </w:pPr>
          </w:p>
          <w:p w:rsidR="00224BDC" w:rsidRDefault="00AD16E1">
            <w:pPr>
              <w:spacing w:after="160" w:line="259" w:lineRule="auto"/>
              <w:jc w:val="left"/>
              <w:rPr>
                <w:rFonts w:asciiTheme="minorHAnsi" w:hAnsiTheme="minorHAnsi" w:cs="Calibri"/>
                <w:color w:val="000000" w:themeColor="text1"/>
                <w:szCs w:val="22"/>
                <w:lang w:val="fr-BE" w:eastAsia="en-US"/>
              </w:rPr>
            </w:pPr>
            <w:r>
              <w:rPr>
                <w:rFonts w:asciiTheme="minorHAnsi" w:hAnsiTheme="minorHAnsi" w:cs="Calibri"/>
                <w:color w:val="000000" w:themeColor="text1"/>
                <w:szCs w:val="22"/>
                <w:lang w:val="fr-BE" w:eastAsia="en-US"/>
              </w:rPr>
              <w:t>2. Habitat, environnement (</w:t>
            </w:r>
            <w:r>
              <w:rPr>
                <w:rFonts w:asciiTheme="minorHAnsi" w:hAnsiTheme="minorHAnsi" w:cs="Calibri"/>
                <w:b/>
                <w:color w:val="000000" w:themeColor="text1"/>
                <w:szCs w:val="22"/>
                <w:lang w:val="fr-BE" w:eastAsia="en-US"/>
              </w:rPr>
              <w:t>types d’habitations, les pièces et leur situation</w:t>
            </w:r>
            <w:r>
              <w:rPr>
                <w:rFonts w:asciiTheme="minorHAnsi" w:hAnsiTheme="minorHAnsi" w:cs="Calibri"/>
                <w:color w:val="000000" w:themeColor="text1"/>
                <w:szCs w:val="22"/>
                <w:lang w:val="fr-BE" w:eastAsia="en-US"/>
              </w:rPr>
              <w:t xml:space="preserve">, </w:t>
            </w:r>
            <w:r>
              <w:rPr>
                <w:rFonts w:asciiTheme="minorHAnsi" w:hAnsiTheme="minorHAnsi" w:cs="Calibri"/>
                <w:b/>
                <w:color w:val="000000" w:themeColor="text1"/>
                <w:szCs w:val="22"/>
                <w:lang w:val="fr-BE" w:eastAsia="en-US"/>
              </w:rPr>
              <w:t xml:space="preserve">type </w:t>
            </w:r>
            <w:r>
              <w:rPr>
                <w:rFonts w:asciiTheme="minorHAnsi" w:hAnsiTheme="minorHAnsi" w:cs="Calibri"/>
                <w:b/>
                <w:color w:val="000000" w:themeColor="text1"/>
                <w:szCs w:val="22"/>
                <w:lang w:val="fr-BE" w:eastAsia="en-US"/>
              </w:rPr>
              <w:lastRenderedPageBreak/>
              <w:t>d’agglomération : villes et villages,</w:t>
            </w:r>
            <w:r>
              <w:rPr>
                <w:rFonts w:asciiTheme="minorHAnsi" w:hAnsiTheme="minorHAnsi" w:cs="Calibri"/>
                <w:color w:val="000000" w:themeColor="text1"/>
                <w:szCs w:val="22"/>
                <w:lang w:val="fr-BE" w:eastAsia="en-US"/>
              </w:rPr>
              <w:t xml:space="preserve"> </w:t>
            </w:r>
            <w:r>
              <w:rPr>
                <w:rFonts w:asciiTheme="minorHAnsi" w:hAnsiTheme="minorHAnsi" w:cs="Calibri"/>
                <w:b/>
                <w:color w:val="000000" w:themeColor="text1"/>
                <w:szCs w:val="22"/>
                <w:lang w:val="fr-BE" w:eastAsia="en-US"/>
              </w:rPr>
              <w:t>éléments constitutifs d’un bâtiment</w:t>
            </w:r>
            <w:r>
              <w:rPr>
                <w:rFonts w:asciiTheme="minorHAnsi" w:hAnsiTheme="minorHAnsi" w:cs="Calibri"/>
                <w:color w:val="000000" w:themeColor="text1"/>
                <w:szCs w:val="22"/>
                <w:lang w:val="fr-BE" w:eastAsia="en-US"/>
              </w:rPr>
              <w:t>)</w:t>
            </w:r>
          </w:p>
          <w:p w:rsidR="00224BDC" w:rsidRDefault="00AD16E1">
            <w:pPr>
              <w:spacing w:after="160" w:line="259" w:lineRule="auto"/>
              <w:jc w:val="left"/>
              <w:rPr>
                <w:rFonts w:asciiTheme="minorHAnsi" w:hAnsiTheme="minorHAnsi" w:cs="Calibri"/>
                <w:b/>
                <w:color w:val="000000" w:themeColor="text1"/>
                <w:szCs w:val="22"/>
                <w:lang w:val="fr-BE" w:eastAsia="en-US"/>
              </w:rPr>
            </w:pPr>
            <w:r>
              <w:rPr>
                <w:rFonts w:asciiTheme="minorHAnsi" w:hAnsiTheme="minorHAnsi" w:cs="Calibri"/>
                <w:color w:val="000000" w:themeColor="text1"/>
                <w:szCs w:val="22"/>
                <w:lang w:val="fr-BE" w:eastAsia="en-US"/>
              </w:rPr>
              <w:t>3</w:t>
            </w:r>
            <w:r>
              <w:rPr>
                <w:rFonts w:asciiTheme="minorHAnsi" w:hAnsiTheme="minorHAnsi" w:cs="Calibri"/>
                <w:b/>
                <w:color w:val="000000" w:themeColor="text1"/>
                <w:szCs w:val="22"/>
                <w:lang w:val="fr-BE" w:eastAsia="en-US"/>
              </w:rPr>
              <w:t>. Vie quotidienne (activités rou</w:t>
            </w:r>
            <w:r>
              <w:rPr>
                <w:rFonts w:asciiTheme="minorHAnsi" w:hAnsiTheme="minorHAnsi" w:cs="Calibri"/>
                <w:b/>
                <w:color w:val="000000" w:themeColor="text1"/>
                <w:szCs w:val="22"/>
                <w:lang w:val="fr-BE" w:eastAsia="en-US"/>
              </w:rPr>
              <w:t>tinières)</w:t>
            </w:r>
          </w:p>
          <w:p w:rsidR="00224BDC" w:rsidRDefault="00AD16E1">
            <w:pPr>
              <w:spacing w:after="160" w:line="259" w:lineRule="auto"/>
              <w:jc w:val="left"/>
              <w:rPr>
                <w:rFonts w:asciiTheme="minorHAnsi" w:hAnsiTheme="minorHAnsi" w:cs="Calibri"/>
                <w:color w:val="000000" w:themeColor="text1"/>
                <w:szCs w:val="22"/>
                <w:lang w:val="fr-BE" w:eastAsia="en-US"/>
              </w:rPr>
            </w:pPr>
            <w:r>
              <w:rPr>
                <w:rFonts w:asciiTheme="minorHAnsi" w:hAnsiTheme="minorHAnsi" w:cs="Calibri"/>
                <w:color w:val="000000" w:themeColor="text1"/>
                <w:szCs w:val="22"/>
                <w:lang w:val="fr-BE" w:eastAsia="en-US"/>
              </w:rPr>
              <w:t>4</w:t>
            </w:r>
            <w:r>
              <w:rPr>
                <w:rFonts w:asciiTheme="minorHAnsi" w:hAnsiTheme="minorHAnsi" w:cs="Calibri"/>
                <w:b/>
                <w:color w:val="000000" w:themeColor="text1"/>
                <w:szCs w:val="22"/>
                <w:lang w:val="fr-BE" w:eastAsia="en-US"/>
              </w:rPr>
              <w:t>. Loisirs (</w:t>
            </w:r>
            <w:r>
              <w:rPr>
                <w:rFonts w:asciiTheme="minorHAnsi" w:hAnsiTheme="minorHAnsi" w:cs="Calibri"/>
                <w:color w:val="000000" w:themeColor="text1"/>
                <w:szCs w:val="22"/>
                <w:lang w:val="fr-BE" w:eastAsia="en-US"/>
              </w:rPr>
              <w:t>4.2</w:t>
            </w:r>
            <w:r>
              <w:rPr>
                <w:rFonts w:asciiTheme="minorHAnsi" w:hAnsiTheme="minorHAnsi" w:cs="Calibri"/>
                <w:b/>
                <w:color w:val="000000" w:themeColor="text1"/>
                <w:szCs w:val="22"/>
                <w:lang w:val="fr-BE" w:eastAsia="en-US"/>
              </w:rPr>
              <w:t xml:space="preserve"> Sports et loisirs : noms de sports et de loisirs courants et activités liées aux sports et aux loisirs; </w:t>
            </w:r>
            <w:r>
              <w:rPr>
                <w:rFonts w:asciiTheme="minorHAnsi" w:hAnsiTheme="minorHAnsi" w:cs="Calibri"/>
                <w:color w:val="000000" w:themeColor="text1"/>
                <w:szCs w:val="22"/>
                <w:lang w:val="fr-BE" w:eastAsia="en-US"/>
              </w:rPr>
              <w:t>4.3</w:t>
            </w:r>
            <w:r>
              <w:rPr>
                <w:rFonts w:asciiTheme="minorHAnsi" w:hAnsiTheme="minorHAnsi" w:cs="Calibri"/>
                <w:b/>
                <w:color w:val="000000" w:themeColor="text1"/>
                <w:szCs w:val="22"/>
                <w:lang w:val="fr-BE" w:eastAsia="en-US"/>
              </w:rPr>
              <w:t xml:space="preserve"> Technologies de l’information et de la communication, médias : types de médias les plus courants et quelques noms d’outils numériques</w:t>
            </w:r>
            <w:r>
              <w:rPr>
                <w:rFonts w:asciiTheme="minorHAnsi" w:hAnsiTheme="minorHAnsi" w:cs="Calibri"/>
                <w:color w:val="000000" w:themeColor="text1"/>
                <w:szCs w:val="22"/>
                <w:lang w:val="fr-BE" w:eastAsia="en-US"/>
              </w:rPr>
              <w:t>)</w:t>
            </w:r>
          </w:p>
          <w:p w:rsidR="00224BDC" w:rsidRDefault="00AD16E1">
            <w:pPr>
              <w:spacing w:after="160" w:line="259" w:lineRule="auto"/>
              <w:jc w:val="left"/>
              <w:rPr>
                <w:rFonts w:asciiTheme="minorHAnsi" w:hAnsiTheme="minorHAnsi" w:cs="Calibri"/>
                <w:color w:val="000000" w:themeColor="text1"/>
                <w:szCs w:val="22"/>
                <w:lang w:val="fr-BE" w:eastAsia="en-US"/>
              </w:rPr>
            </w:pPr>
            <w:r>
              <w:rPr>
                <w:rFonts w:asciiTheme="minorHAnsi" w:hAnsiTheme="minorHAnsi" w:cs="Calibri"/>
                <w:color w:val="000000" w:themeColor="text1"/>
                <w:szCs w:val="22"/>
                <w:lang w:val="fr-BE" w:eastAsia="en-US"/>
              </w:rPr>
              <w:t>5. Voyages (5.1</w:t>
            </w:r>
            <w:r>
              <w:rPr>
                <w:rFonts w:asciiTheme="minorHAnsi" w:hAnsiTheme="minorHAnsi" w:cs="Calibri"/>
                <w:b/>
                <w:color w:val="000000" w:themeColor="text1"/>
                <w:szCs w:val="22"/>
                <w:lang w:val="fr-BE" w:eastAsia="en-US"/>
              </w:rPr>
              <w:t xml:space="preserve">  Transports et déplacements : lieux et bâtiments liés au transport,</w:t>
            </w:r>
            <w:r>
              <w:rPr>
                <w:rFonts w:asciiTheme="minorHAnsi" w:hAnsiTheme="minorHAnsi" w:cs="Calibri"/>
                <w:color w:val="000000" w:themeColor="text1"/>
                <w:szCs w:val="22"/>
                <w:lang w:val="fr-BE" w:eastAsia="en-US"/>
              </w:rPr>
              <w:t xml:space="preserve"> </w:t>
            </w:r>
            <w:r>
              <w:rPr>
                <w:rFonts w:asciiTheme="minorHAnsi" w:hAnsiTheme="minorHAnsi" w:cs="Calibri"/>
                <w:b/>
                <w:bCs/>
                <w:color w:val="000000" w:themeColor="text1"/>
                <w:szCs w:val="22"/>
                <w:lang w:val="fr-BE" w:eastAsia="en-US"/>
              </w:rPr>
              <w:t xml:space="preserve">principaux </w:t>
            </w:r>
            <w:r>
              <w:rPr>
                <w:rFonts w:asciiTheme="minorHAnsi" w:hAnsiTheme="minorHAnsi" w:cs="Calibri"/>
                <w:b/>
                <w:color w:val="000000" w:themeColor="text1"/>
                <w:szCs w:val="22"/>
                <w:lang w:val="fr-BE" w:eastAsia="en-US"/>
              </w:rPr>
              <w:t>moyens de transport</w:t>
            </w:r>
            <w:r>
              <w:rPr>
                <w:rFonts w:asciiTheme="minorHAnsi" w:hAnsiTheme="minorHAnsi" w:cs="Calibri"/>
                <w:color w:val="000000" w:themeColor="text1"/>
                <w:szCs w:val="22"/>
                <w:lang w:val="fr-BE" w:eastAsia="en-US"/>
              </w:rPr>
              <w:t xml:space="preserve"> et ac</w:t>
            </w:r>
            <w:r>
              <w:rPr>
                <w:rFonts w:asciiTheme="minorHAnsi" w:hAnsiTheme="minorHAnsi" w:cs="Calibri"/>
                <w:color w:val="000000" w:themeColor="text1"/>
                <w:szCs w:val="22"/>
                <w:lang w:val="fr-BE" w:eastAsia="en-US"/>
              </w:rPr>
              <w:t xml:space="preserve">tions de base associées à des déplacements, liés à la vie quotidienne ; 5.2 Séjours : quelques lieux de villégiature et d’hébergement et </w:t>
            </w:r>
            <w:r>
              <w:rPr>
                <w:rFonts w:asciiTheme="minorHAnsi" w:hAnsiTheme="minorHAnsi" w:cs="Calibri"/>
                <w:b/>
                <w:color w:val="000000" w:themeColor="text1"/>
                <w:szCs w:val="22"/>
                <w:lang w:val="fr-BE" w:eastAsia="en-US"/>
              </w:rPr>
              <w:t>quelques activités de loisir routinières liées aux vacances</w:t>
            </w:r>
            <w:r>
              <w:rPr>
                <w:rFonts w:asciiTheme="minorHAnsi" w:hAnsiTheme="minorHAnsi" w:cs="Calibri"/>
                <w:color w:val="000000" w:themeColor="text1"/>
                <w:szCs w:val="22"/>
                <w:lang w:val="fr-BE" w:eastAsia="en-US"/>
              </w:rPr>
              <w:t>)</w:t>
            </w:r>
          </w:p>
          <w:p w:rsidR="00224BDC" w:rsidRDefault="00AD16E1">
            <w:pPr>
              <w:spacing w:after="160" w:line="259" w:lineRule="auto"/>
              <w:jc w:val="left"/>
              <w:rPr>
                <w:rFonts w:asciiTheme="minorHAnsi" w:hAnsiTheme="minorHAnsi" w:cs="Calibri"/>
                <w:color w:val="000000" w:themeColor="text1"/>
                <w:szCs w:val="22"/>
                <w:lang w:val="fr-BE" w:eastAsia="en-US"/>
              </w:rPr>
            </w:pPr>
            <w:r>
              <w:rPr>
                <w:rFonts w:asciiTheme="minorHAnsi" w:hAnsiTheme="minorHAnsi" w:cs="Calibri"/>
                <w:color w:val="000000" w:themeColor="text1"/>
                <w:szCs w:val="22"/>
                <w:lang w:val="fr-BE" w:eastAsia="en-US"/>
              </w:rPr>
              <w:t>6.</w:t>
            </w:r>
            <w:r>
              <w:rPr>
                <w:rFonts w:asciiTheme="minorHAnsi" w:hAnsiTheme="minorHAnsi" w:cs="Calibri"/>
                <w:b/>
                <w:color w:val="000000" w:themeColor="text1"/>
                <w:szCs w:val="22"/>
                <w:lang w:val="fr-BE" w:eastAsia="en-US"/>
              </w:rPr>
              <w:t xml:space="preserve"> Relations avec les autres</w:t>
            </w:r>
            <w:r>
              <w:rPr>
                <w:rFonts w:asciiTheme="minorHAnsi" w:hAnsiTheme="minorHAnsi" w:cs="Calibri"/>
                <w:color w:val="000000" w:themeColor="text1"/>
                <w:szCs w:val="22"/>
                <w:lang w:val="fr-BE" w:eastAsia="en-US"/>
              </w:rPr>
              <w:t xml:space="preserve"> (types de relation avec son e</w:t>
            </w:r>
            <w:r>
              <w:rPr>
                <w:rFonts w:asciiTheme="minorHAnsi" w:hAnsiTheme="minorHAnsi" w:cs="Calibri"/>
                <w:color w:val="000000" w:themeColor="text1"/>
                <w:szCs w:val="22"/>
                <w:lang w:val="fr-BE" w:eastAsia="en-US"/>
              </w:rPr>
              <w:t>ntourage</w:t>
            </w:r>
            <w:r>
              <w:rPr>
                <w:rFonts w:asciiTheme="minorHAnsi" w:hAnsiTheme="minorHAnsi" w:cs="Calibri"/>
                <w:b/>
                <w:color w:val="000000" w:themeColor="text1"/>
                <w:szCs w:val="22"/>
                <w:lang w:val="fr-BE" w:eastAsia="en-US"/>
              </w:rPr>
              <w:t xml:space="preserve"> et actions liées aux relations avec l’entourage</w:t>
            </w:r>
            <w:r>
              <w:rPr>
                <w:rFonts w:asciiTheme="minorHAnsi" w:hAnsiTheme="minorHAnsi" w:cs="Calibri"/>
                <w:bCs/>
                <w:color w:val="000000" w:themeColor="text1"/>
                <w:szCs w:val="22"/>
                <w:lang w:val="fr-BE" w:eastAsia="en-US"/>
              </w:rPr>
              <w:t>)</w:t>
            </w:r>
          </w:p>
          <w:p w:rsidR="00224BDC" w:rsidRDefault="00AD16E1">
            <w:pPr>
              <w:spacing w:after="160" w:line="259" w:lineRule="auto"/>
              <w:jc w:val="left"/>
              <w:rPr>
                <w:rFonts w:asciiTheme="minorHAnsi" w:hAnsiTheme="minorHAnsi" w:cs="Calibri"/>
                <w:color w:val="000000" w:themeColor="text1"/>
                <w:szCs w:val="22"/>
                <w:lang w:val="fr-BE" w:eastAsia="en-US"/>
              </w:rPr>
            </w:pPr>
            <w:r>
              <w:rPr>
                <w:rFonts w:asciiTheme="minorHAnsi" w:hAnsiTheme="minorHAnsi" w:cs="Calibri"/>
                <w:color w:val="000000" w:themeColor="text1"/>
                <w:szCs w:val="22"/>
                <w:lang w:val="fr-BE" w:eastAsia="en-US"/>
              </w:rPr>
              <w:t>7. Santé et bienêtre (humeur)</w:t>
            </w:r>
          </w:p>
          <w:p w:rsidR="00224BDC" w:rsidRDefault="00224BDC">
            <w:pPr>
              <w:spacing w:after="160" w:line="259" w:lineRule="auto"/>
              <w:jc w:val="left"/>
              <w:rPr>
                <w:rFonts w:asciiTheme="minorHAnsi" w:hAnsiTheme="minorHAnsi" w:cs="Calibri"/>
                <w:color w:val="000000" w:themeColor="text1"/>
                <w:szCs w:val="22"/>
                <w:lang w:val="fr-BE" w:eastAsia="en-US"/>
              </w:rPr>
            </w:pPr>
          </w:p>
          <w:p w:rsidR="00224BDC" w:rsidRDefault="00224BDC">
            <w:pPr>
              <w:spacing w:after="160" w:line="259" w:lineRule="auto"/>
              <w:jc w:val="left"/>
              <w:rPr>
                <w:rFonts w:asciiTheme="minorHAnsi" w:hAnsiTheme="minorHAnsi" w:cs="Calibri"/>
                <w:color w:val="000000" w:themeColor="text1"/>
                <w:szCs w:val="22"/>
                <w:lang w:val="fr-BE" w:eastAsia="en-US"/>
              </w:rPr>
            </w:pPr>
          </w:p>
          <w:p w:rsidR="00224BDC" w:rsidRDefault="00AD16E1">
            <w:pPr>
              <w:spacing w:after="160" w:line="259" w:lineRule="auto"/>
              <w:jc w:val="left"/>
              <w:rPr>
                <w:rFonts w:asciiTheme="minorHAnsi" w:hAnsiTheme="minorHAnsi" w:cs="Calibri"/>
                <w:color w:val="000000" w:themeColor="text1"/>
                <w:szCs w:val="22"/>
                <w:lang w:val="fr-BE" w:eastAsia="en-US"/>
              </w:rPr>
            </w:pPr>
            <w:r>
              <w:rPr>
                <w:rFonts w:asciiTheme="minorHAnsi" w:hAnsiTheme="minorHAnsi" w:cs="Calibri"/>
                <w:color w:val="000000" w:themeColor="text1"/>
                <w:szCs w:val="22"/>
                <w:lang w:val="fr-BE" w:eastAsia="en-US"/>
              </w:rPr>
              <w:t>10. Nourriture et boissons (lieux et actions liées à la nourriture et aux boissons)</w:t>
            </w:r>
          </w:p>
          <w:p w:rsidR="00224BDC" w:rsidRDefault="00224BDC">
            <w:pPr>
              <w:spacing w:after="160" w:line="259" w:lineRule="auto"/>
              <w:jc w:val="left"/>
              <w:rPr>
                <w:rFonts w:asciiTheme="minorHAnsi" w:hAnsiTheme="minorHAnsi" w:cs="Calibri"/>
                <w:color w:val="000000" w:themeColor="text1"/>
                <w:szCs w:val="22"/>
                <w:lang w:val="fr-BE" w:eastAsia="en-US"/>
              </w:rPr>
            </w:pPr>
          </w:p>
          <w:p w:rsidR="00224BDC" w:rsidRDefault="00AD16E1">
            <w:pPr>
              <w:spacing w:after="160" w:line="259" w:lineRule="auto"/>
              <w:jc w:val="left"/>
              <w:rPr>
                <w:rFonts w:asciiTheme="minorHAnsi" w:hAnsiTheme="minorHAnsi" w:cs="Calibri"/>
                <w:b/>
                <w:color w:val="000000" w:themeColor="text1"/>
                <w:szCs w:val="22"/>
                <w:lang w:val="fr-BE" w:eastAsia="en-US"/>
              </w:rPr>
            </w:pPr>
            <w:r>
              <w:rPr>
                <w:rFonts w:asciiTheme="minorHAnsi" w:hAnsiTheme="minorHAnsi" w:cs="Calibri"/>
                <w:color w:val="000000" w:themeColor="text1"/>
                <w:szCs w:val="22"/>
                <w:lang w:val="fr-BE" w:eastAsia="en-US"/>
              </w:rPr>
              <w:t>11.</w:t>
            </w:r>
            <w:r>
              <w:rPr>
                <w:rFonts w:asciiTheme="minorHAnsi" w:hAnsiTheme="minorHAnsi" w:cs="Calibri"/>
                <w:b/>
                <w:color w:val="000000" w:themeColor="text1"/>
                <w:szCs w:val="22"/>
                <w:lang w:val="fr-BE" w:eastAsia="en-US"/>
              </w:rPr>
              <w:t xml:space="preserve"> Météo et climat (descripteurs de base)</w:t>
            </w:r>
          </w:p>
          <w:p w:rsidR="00224BDC" w:rsidRDefault="00AD16E1">
            <w:pPr>
              <w:spacing w:after="160" w:line="259" w:lineRule="auto"/>
              <w:jc w:val="left"/>
              <w:rPr>
                <w:rFonts w:asciiTheme="minorHAnsi" w:hAnsiTheme="minorHAnsi" w:cs="Calibri"/>
                <w:color w:val="000000" w:themeColor="text1"/>
                <w:szCs w:val="22"/>
                <w:lang w:val="fr-BE" w:eastAsia="en-US"/>
              </w:rPr>
            </w:pPr>
            <w:r>
              <w:rPr>
                <w:rFonts w:asciiTheme="minorHAnsi" w:hAnsiTheme="minorHAnsi" w:cs="Calibri"/>
                <w:color w:val="000000" w:themeColor="text1"/>
                <w:szCs w:val="22"/>
                <w:lang w:val="fr-BE" w:eastAsia="en-US"/>
              </w:rPr>
              <w:t>12. Division du temps (année, date, he</w:t>
            </w:r>
            <w:r>
              <w:rPr>
                <w:rFonts w:asciiTheme="minorHAnsi" w:hAnsiTheme="minorHAnsi" w:cs="Calibri"/>
                <w:color w:val="000000" w:themeColor="text1"/>
                <w:szCs w:val="22"/>
                <w:lang w:val="fr-BE" w:eastAsia="en-US"/>
              </w:rPr>
              <w:t>ure, fréquence, évènements qui jalonnent une journée)</w:t>
            </w:r>
          </w:p>
        </w:tc>
      </w:tr>
    </w:tbl>
    <w:p w:rsidR="00224BDC" w:rsidRDefault="00224BDC">
      <w:pPr>
        <w:pStyle w:val="Titre1"/>
        <w:numPr>
          <w:ilvl w:val="0"/>
          <w:numId w:val="0"/>
        </w:numPr>
        <w:ind w:left="284"/>
        <w:rPr>
          <w:lang w:val="fr-BE"/>
        </w:rPr>
      </w:pPr>
    </w:p>
    <w:p w:rsidR="00224BDC" w:rsidRDefault="00AD16E1">
      <w:pPr>
        <w:rPr>
          <w:rFonts w:ascii="Arial" w:hAnsi="Arial"/>
          <w:kern w:val="32"/>
          <w:szCs w:val="32"/>
          <w:u w:val="single"/>
          <w:lang w:val="fr-BE"/>
        </w:rPr>
      </w:pPr>
      <w:r>
        <w:rPr>
          <w:lang w:val="fr-BE"/>
        </w:rPr>
        <w:br w:type="page"/>
      </w:r>
    </w:p>
    <w:p w:rsidR="00224BDC" w:rsidRDefault="00AD16E1">
      <w:pPr>
        <w:pStyle w:val="Titre1"/>
        <w:rPr>
          <w:lang w:val="fr-BE"/>
        </w:rPr>
      </w:pPr>
      <w:r>
        <w:rPr>
          <w:lang w:val="fr-BE"/>
        </w:rPr>
        <w:lastRenderedPageBreak/>
        <w:t>Documents pour les enseignants</w:t>
      </w:r>
    </w:p>
    <w:p w:rsidR="00224BDC" w:rsidRDefault="00AD16E1">
      <w:r>
        <w:rPr>
          <w:lang w:val="fr-BE"/>
        </w:rPr>
        <w:t>L</w:t>
      </w:r>
      <w:r>
        <w:t xml:space="preserve">es grilles d’évaluation sont disponibles sur </w:t>
      </w:r>
      <w:hyperlink r:id="rId10" w:history="1">
        <w:r>
          <w:rPr>
            <w:rStyle w:val="Lienhypertexte"/>
            <w:rFonts w:cs="Calibri"/>
            <w:sz w:val="20"/>
            <w:szCs w:val="20"/>
          </w:rPr>
          <w:t>www.enseignement.be/ce1d</w:t>
        </w:r>
      </w:hyperlink>
    </w:p>
    <w:p w:rsidR="00224BDC" w:rsidRDefault="00AD16E1">
      <w:r>
        <w:t xml:space="preserve">Différents documents seront téléchargeables sur </w:t>
      </w:r>
      <w:r>
        <w:t>la plateforme EVALEXT par la direction ou le pouvoir organisateur, puis remis aux enseignants :</w:t>
      </w:r>
    </w:p>
    <w:p w:rsidR="00224BDC" w:rsidRDefault="00AD16E1">
      <w:pPr>
        <w:pStyle w:val="Listepuces"/>
      </w:pPr>
      <w:r>
        <w:t>le 7 juin 2021 : le guide de passation (anciennement « dossier de l’enseignant ») ;</w:t>
      </w:r>
    </w:p>
    <w:p w:rsidR="00224BDC" w:rsidRDefault="00AD16E1">
      <w:pPr>
        <w:pStyle w:val="Listepuces"/>
      </w:pPr>
      <w:r>
        <w:t xml:space="preserve">le 10 juin 2021 : les fiches et rôles d’expression orale, </w:t>
      </w:r>
      <w:r>
        <w:rPr>
          <w:b/>
        </w:rPr>
        <w:t>soumis à confident</w:t>
      </w:r>
      <w:r>
        <w:rPr>
          <w:b/>
        </w:rPr>
        <w:t>ialité jusqu’au 21 juin inclus </w:t>
      </w:r>
      <w:r>
        <w:t>;</w:t>
      </w:r>
    </w:p>
    <w:p w:rsidR="00224BDC" w:rsidRDefault="00AD16E1">
      <w:pPr>
        <w:pStyle w:val="Listepuces"/>
      </w:pPr>
      <w:r>
        <w:t xml:space="preserve">le matin de l’épreuve dès 7h : les versions adaptées V2 (Arial 14) au format électronique, les pistes </w:t>
      </w:r>
      <w:proofErr w:type="spellStart"/>
      <w:r>
        <w:t>audios</w:t>
      </w:r>
      <w:proofErr w:type="spellEnd"/>
      <w:r>
        <w:t xml:space="preserve"> et scripts des tâches d’écoute ;</w:t>
      </w:r>
    </w:p>
    <w:p w:rsidR="00224BDC" w:rsidRDefault="00AD16E1">
      <w:pPr>
        <w:pStyle w:val="Listepuces"/>
      </w:pPr>
      <w:r>
        <w:t>le jour de l’épreuve dès 11h15 : le guide de correction.</w:t>
      </w:r>
    </w:p>
    <w:p w:rsidR="00224BDC" w:rsidRDefault="00AD16E1">
      <w:r>
        <w:t>La grille d’encodage des</w:t>
      </w:r>
      <w:r>
        <w:t xml:space="preserve"> résultats, pré-remplie par l’Administration, sera envoyée par e-mail aux directions d’école pour le 7 juin 2021 et pourra être remise directement aux enseignants.</w:t>
      </w:r>
    </w:p>
    <w:p w:rsidR="00224BDC" w:rsidRDefault="00AD16E1">
      <w:pPr>
        <w:pStyle w:val="Titre1"/>
        <w:rPr>
          <w:lang w:val="fr-BE"/>
        </w:rPr>
      </w:pPr>
      <w:r>
        <w:rPr>
          <w:lang w:val="fr-BE"/>
        </w:rPr>
        <w:t>Modalités de réussite</w:t>
      </w:r>
    </w:p>
    <w:p w:rsidR="00224BDC" w:rsidRDefault="00AD16E1">
      <w:r>
        <w:t>Le seuil de réussite de cette épreuve est fixé à 50 % de moyenne.</w:t>
      </w:r>
    </w:p>
    <w:p w:rsidR="00224BDC" w:rsidRDefault="00AD16E1">
      <w:pPr>
        <w:rPr>
          <w:rFonts w:cs="Calibri"/>
          <w:b/>
          <w:szCs w:val="22"/>
        </w:rPr>
      </w:pPr>
      <w:r>
        <w:rPr>
          <w:rFonts w:cs="Calibri"/>
          <w:b/>
          <w:szCs w:val="22"/>
        </w:rPr>
        <w:t>Dans</w:t>
      </w:r>
      <w:r>
        <w:rPr>
          <w:rFonts w:cs="Calibri"/>
          <w:b/>
          <w:szCs w:val="22"/>
        </w:rPr>
        <w:t xml:space="preserve"> le cas où, en raison de la situation sanitaire, tous les essentiels n’auraient pas pu été enseignés, la procédure suivante sera appliquée, de façon exceptionnelle : </w:t>
      </w:r>
    </w:p>
    <w:p w:rsidR="00224BDC" w:rsidRDefault="00AD16E1">
      <w:pPr>
        <w:pStyle w:val="Listepuces"/>
      </w:pPr>
      <w:r>
        <w:t>Préalablement à l’épreuve, chaque enseignant fait le bilan des matières identifiées comme</w:t>
      </w:r>
      <w:r>
        <w:t xml:space="preserve"> étant essentielles et qui n’ont pas pu faire l’objet d’un apprentissage.</w:t>
      </w:r>
    </w:p>
    <w:p w:rsidR="00224BDC" w:rsidRDefault="00AD16E1">
      <w:pPr>
        <w:pStyle w:val="Listepuces"/>
      </w:pPr>
      <w:r>
        <w:t xml:space="preserve">Dès la fin de l’encodage des résultats, l’enseignant calcule, </w:t>
      </w:r>
      <w:r>
        <w:rPr>
          <w:b/>
          <w:u w:val="single"/>
        </w:rPr>
        <w:t>à titre indicatif</w:t>
      </w:r>
      <w:r>
        <w:t>, pour chaque élève ayant échoué, le score obtenu à l’épreuve en ne prenant pas en compte les questions</w:t>
      </w:r>
      <w:r>
        <w:t xml:space="preserve"> liées à des matières non vues. Un outil sera mis à disposition afin de faciliter le calcul. Lors des délibérations du conseil de classe, le bilan et le score indicatif sont également exploités afin de prendre la décision la plus juste pour chaque élève en</w:t>
      </w:r>
      <w:r>
        <w:t xml:space="preserve"> situation d’échec.</w:t>
      </w:r>
    </w:p>
    <w:p w:rsidR="00224BDC" w:rsidRDefault="00AD16E1">
      <w:pPr>
        <w:pStyle w:val="Listepuces"/>
      </w:pPr>
      <w:r>
        <w:t xml:space="preserve">Le conseil de classe motive sa décision d’octroi/de non-octroi suite à sa délibération. Les motivations, en ce compris le score indicatif, sont transmises à l’élève et à ses parents afin que ceux-ci puissent être conscients des lacunes </w:t>
      </w:r>
      <w:r>
        <w:t>et du besoin éventuel de remédiation.</w:t>
      </w:r>
    </w:p>
    <w:p w:rsidR="00224BDC" w:rsidRDefault="00224BDC">
      <w:pPr>
        <w:rPr>
          <w:lang w:val="fr-BE"/>
        </w:rPr>
      </w:pPr>
    </w:p>
    <w:sectPr w:rsidR="00224BDC">
      <w:footerReference w:type="default" r:id="rId11"/>
      <w:headerReference w:type="first" r:id="rId12"/>
      <w:footerReference w:type="first" r:id="rId13"/>
      <w:pgSz w:w="11906" w:h="16838"/>
      <w:pgMar w:top="1417" w:right="1417" w:bottom="1417" w:left="1417"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4BDC" w:rsidRDefault="00AD16E1">
      <w:r>
        <w:separator/>
      </w:r>
    </w:p>
    <w:p w:rsidR="00224BDC" w:rsidRDefault="00224BDC"/>
  </w:endnote>
  <w:endnote w:type="continuationSeparator" w:id="0">
    <w:p w:rsidR="00224BDC" w:rsidRDefault="00AD16E1">
      <w:r>
        <w:continuationSeparator/>
      </w:r>
    </w:p>
    <w:p w:rsidR="00224BDC" w:rsidRDefault="00224B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BDC" w:rsidRDefault="00AD16E1">
    <w:pPr>
      <w:pStyle w:val="Pieddepage"/>
      <w:jc w:val="right"/>
    </w:pPr>
    <w:r>
      <w:rPr>
        <w:rFonts w:cs="Calibri"/>
        <w:szCs w:val="22"/>
      </w:rPr>
      <w:fldChar w:fldCharType="begin"/>
    </w:r>
    <w:r>
      <w:rPr>
        <w:rFonts w:cs="Calibri"/>
        <w:szCs w:val="22"/>
      </w:rPr>
      <w:instrText>PAGE   \* MERGEFORMAT</w:instrText>
    </w:r>
    <w:r>
      <w:rPr>
        <w:rFonts w:cs="Calibri"/>
        <w:szCs w:val="22"/>
      </w:rPr>
      <w:fldChar w:fldCharType="separate"/>
    </w:r>
    <w:r>
      <w:rPr>
        <w:rFonts w:cs="Calibri"/>
        <w:noProof/>
        <w:szCs w:val="22"/>
      </w:rPr>
      <w:t>6</w:t>
    </w:r>
    <w:r>
      <w:rPr>
        <w:rFonts w:cs="Calibri"/>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BDC" w:rsidRDefault="00AD16E1">
    <w:pPr>
      <w:jc w:val="left"/>
    </w:pPr>
    <w:r>
      <w:rPr>
        <w:rFonts w:cs="Calibri"/>
        <w:i/>
        <w:sz w:val="18"/>
        <w:szCs w:val="18"/>
      </w:rPr>
      <w:t xml:space="preserve">À titre d’illustration, les épreuves des années précédentes sont accessibles sur </w:t>
    </w:r>
    <w:hyperlink r:id="rId1" w:history="1">
      <w:r>
        <w:rPr>
          <w:rStyle w:val="Lienhypertexte"/>
          <w:rFonts w:cs="Calibri"/>
          <w:i/>
          <w:sz w:val="18"/>
          <w:szCs w:val="18"/>
        </w:rPr>
        <w:t>www.enseignement.be/ce1d</w:t>
      </w:r>
    </w:hyperlink>
    <w:r>
      <w:rPr>
        <w:rFonts w:cs="Calibri"/>
        <w:i/>
        <w:sz w:val="18"/>
        <w:szCs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4BDC" w:rsidRDefault="00AD16E1">
      <w:r>
        <w:separator/>
      </w:r>
    </w:p>
  </w:footnote>
  <w:footnote w:type="continuationSeparator" w:id="0">
    <w:p w:rsidR="00224BDC" w:rsidRDefault="00AD16E1">
      <w:r>
        <w:continuationSeparator/>
      </w:r>
    </w:p>
    <w:p w:rsidR="00224BDC" w:rsidRDefault="00224BDC"/>
  </w:footnote>
  <w:footnote w:id="1">
    <w:p w:rsidR="00224BDC" w:rsidRDefault="00AD16E1">
      <w:pPr>
        <w:pStyle w:val="Notedebasdepage"/>
        <w:rPr>
          <w:lang w:val="fr-BE"/>
        </w:rPr>
      </w:pPr>
      <w:r>
        <w:rPr>
          <w:rStyle w:val="Appelnotedebasdep"/>
        </w:rPr>
        <w:footnoteRef/>
      </w:r>
      <w:r>
        <w:t xml:space="preserve"> La circulaire complète est téléchargeable sur </w:t>
      </w:r>
      <w:hyperlink r:id="rId1" w:history="1">
        <w:r>
          <w:rPr>
            <w:rStyle w:val="Lienhypertexte"/>
            <w:lang w:val="fr-BE"/>
          </w:rPr>
          <w:t>http://enseignement.be/ce1d</w:t>
        </w:r>
      </w:hyperlink>
      <w:r>
        <w:rPr>
          <w:lang w:val="fr-BE"/>
        </w:rPr>
        <w:t>, section « Cadre légal ».</w:t>
      </w:r>
    </w:p>
  </w:footnote>
  <w:footnote w:id="2">
    <w:p w:rsidR="00224BDC" w:rsidRDefault="00AD16E1">
      <w:pPr>
        <w:pStyle w:val="Notedebasdepage"/>
      </w:pPr>
      <w:r>
        <w:rPr>
          <w:rStyle w:val="Appelnotedebasdep"/>
        </w:rPr>
        <w:footnoteRef/>
      </w:r>
      <w:r>
        <w:t xml:space="preserve"> </w:t>
      </w:r>
      <w:hyperlink r:id="rId2" w:history="1">
        <w:r>
          <w:rPr>
            <w:rStyle w:val="Lienhypertexte"/>
          </w:rPr>
          <w:t>http://enseignement.be/download.php?do_id=159</w:t>
        </w:r>
        <w:r>
          <w:rPr>
            <w:rStyle w:val="Lienhypertexte"/>
          </w:rPr>
          <w:t>22</w:t>
        </w:r>
      </w:hyperlink>
      <w:r>
        <w:t xml:space="preserve"> </w:t>
      </w:r>
    </w:p>
  </w:footnote>
  <w:footnote w:id="3">
    <w:p w:rsidR="00224BDC" w:rsidRDefault="00AD16E1">
      <w:pPr>
        <w:pStyle w:val="Notedebasdepage"/>
      </w:pPr>
      <w:r>
        <w:rPr>
          <w:rStyle w:val="Appelnotedebasdep"/>
        </w:rPr>
        <w:footnoteRef/>
      </w:r>
      <w:r>
        <w:t xml:space="preserve"> </w:t>
      </w:r>
      <w:hyperlink r:id="rId3" w:history="1">
        <w:r>
          <w:rPr>
            <w:rStyle w:val="Lienhypertexte"/>
          </w:rPr>
          <w:t>http://enseignement.be/download.php?do_id=15922</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BDC" w:rsidRDefault="00AD16E1">
    <w:pPr>
      <w:pStyle w:val="En-tte"/>
    </w:pPr>
    <w:r>
      <w:rPr>
        <w:noProof/>
        <w:lang w:val="fr-BE" w:eastAsia="fr-BE"/>
      </w:rPr>
      <w:drawing>
        <wp:inline distT="0" distB="0" distL="0" distR="0">
          <wp:extent cx="2696845" cy="830580"/>
          <wp:effectExtent l="0" t="0" r="8255" b="7620"/>
          <wp:docPr id="1" name="Image 1" descr="C:\Users\quinta01\AppData\Local\Microsoft\Windows\INetCache\Content.Word\FWBNOIR_ENSEIGNE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quinta01\AppData\Local\Microsoft\Windows\INetCache\Content.Word\FWBNOIR_ENSEIGNEME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6845" cy="8305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963B3"/>
    <w:multiLevelType w:val="multilevel"/>
    <w:tmpl w:val="FBA456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titre3n"/>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047073"/>
    <w:multiLevelType w:val="hybridMultilevel"/>
    <w:tmpl w:val="7F66DB2C"/>
    <w:lvl w:ilvl="0" w:tplc="5CA6DF4E">
      <w:start w:val="1"/>
      <w:numFmt w:val="bullet"/>
      <w:lvlText w:val="-"/>
      <w:lvlJc w:val="left"/>
      <w:pPr>
        <w:ind w:left="1440" w:hanging="360"/>
      </w:pPr>
      <w:rPr>
        <w:rFonts w:ascii="Arial" w:hAnsi="Arial" w:hint="default"/>
        <w:sz w:val="22"/>
        <w:szCs w:val="22"/>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 w15:restartNumberingAfterBreak="0">
    <w:nsid w:val="12A60BC8"/>
    <w:multiLevelType w:val="hybridMultilevel"/>
    <w:tmpl w:val="5BB0E884"/>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2E46C45"/>
    <w:multiLevelType w:val="hybridMultilevel"/>
    <w:tmpl w:val="B146805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19C55DDA"/>
    <w:multiLevelType w:val="multilevel"/>
    <w:tmpl w:val="BE928762"/>
    <w:numStyleLink w:val="Style2"/>
  </w:abstractNum>
  <w:abstractNum w:abstractNumId="5" w15:restartNumberingAfterBreak="0">
    <w:nsid w:val="1AA73CD4"/>
    <w:multiLevelType w:val="hybridMultilevel"/>
    <w:tmpl w:val="8C6C6C70"/>
    <w:lvl w:ilvl="0" w:tplc="485C5A4E">
      <w:start w:val="1"/>
      <w:numFmt w:val="bullet"/>
      <w:lvlText w:val="-"/>
      <w:lvlJc w:val="left"/>
      <w:pPr>
        <w:ind w:left="540" w:hanging="360"/>
      </w:pPr>
      <w:rPr>
        <w:rFonts w:ascii="Sylfaen" w:hAnsi="Sylfaen" w:hint="default"/>
      </w:rPr>
    </w:lvl>
    <w:lvl w:ilvl="1" w:tplc="080C0003" w:tentative="1">
      <w:start w:val="1"/>
      <w:numFmt w:val="bullet"/>
      <w:lvlText w:val="o"/>
      <w:lvlJc w:val="left"/>
      <w:pPr>
        <w:ind w:left="1260" w:hanging="360"/>
      </w:pPr>
      <w:rPr>
        <w:rFonts w:ascii="Courier New" w:hAnsi="Courier New" w:cs="Courier New" w:hint="default"/>
      </w:rPr>
    </w:lvl>
    <w:lvl w:ilvl="2" w:tplc="080C0005">
      <w:start w:val="1"/>
      <w:numFmt w:val="bullet"/>
      <w:lvlText w:val=""/>
      <w:lvlJc w:val="left"/>
      <w:pPr>
        <w:ind w:left="1980" w:hanging="360"/>
      </w:pPr>
      <w:rPr>
        <w:rFonts w:ascii="Wingdings" w:hAnsi="Wingdings" w:hint="default"/>
      </w:rPr>
    </w:lvl>
    <w:lvl w:ilvl="3" w:tplc="080C0001">
      <w:start w:val="1"/>
      <w:numFmt w:val="bullet"/>
      <w:lvlText w:val=""/>
      <w:lvlJc w:val="left"/>
      <w:pPr>
        <w:ind w:left="2700" w:hanging="360"/>
      </w:pPr>
      <w:rPr>
        <w:rFonts w:ascii="Symbol" w:hAnsi="Symbol" w:hint="default"/>
      </w:rPr>
    </w:lvl>
    <w:lvl w:ilvl="4" w:tplc="080C0003" w:tentative="1">
      <w:start w:val="1"/>
      <w:numFmt w:val="bullet"/>
      <w:lvlText w:val="o"/>
      <w:lvlJc w:val="left"/>
      <w:pPr>
        <w:ind w:left="3420" w:hanging="360"/>
      </w:pPr>
      <w:rPr>
        <w:rFonts w:ascii="Courier New" w:hAnsi="Courier New" w:cs="Courier New" w:hint="default"/>
      </w:rPr>
    </w:lvl>
    <w:lvl w:ilvl="5" w:tplc="080C0005" w:tentative="1">
      <w:start w:val="1"/>
      <w:numFmt w:val="bullet"/>
      <w:lvlText w:val=""/>
      <w:lvlJc w:val="left"/>
      <w:pPr>
        <w:ind w:left="4140" w:hanging="360"/>
      </w:pPr>
      <w:rPr>
        <w:rFonts w:ascii="Wingdings" w:hAnsi="Wingdings" w:hint="default"/>
      </w:rPr>
    </w:lvl>
    <w:lvl w:ilvl="6" w:tplc="080C0001" w:tentative="1">
      <w:start w:val="1"/>
      <w:numFmt w:val="bullet"/>
      <w:lvlText w:val=""/>
      <w:lvlJc w:val="left"/>
      <w:pPr>
        <w:ind w:left="4860" w:hanging="360"/>
      </w:pPr>
      <w:rPr>
        <w:rFonts w:ascii="Symbol" w:hAnsi="Symbol" w:hint="default"/>
      </w:rPr>
    </w:lvl>
    <w:lvl w:ilvl="7" w:tplc="080C0003" w:tentative="1">
      <w:start w:val="1"/>
      <w:numFmt w:val="bullet"/>
      <w:lvlText w:val="o"/>
      <w:lvlJc w:val="left"/>
      <w:pPr>
        <w:ind w:left="5580" w:hanging="360"/>
      </w:pPr>
      <w:rPr>
        <w:rFonts w:ascii="Courier New" w:hAnsi="Courier New" w:cs="Courier New" w:hint="default"/>
      </w:rPr>
    </w:lvl>
    <w:lvl w:ilvl="8" w:tplc="080C0005" w:tentative="1">
      <w:start w:val="1"/>
      <w:numFmt w:val="bullet"/>
      <w:lvlText w:val=""/>
      <w:lvlJc w:val="left"/>
      <w:pPr>
        <w:ind w:left="6300" w:hanging="360"/>
      </w:pPr>
      <w:rPr>
        <w:rFonts w:ascii="Wingdings" w:hAnsi="Wingdings" w:hint="default"/>
      </w:rPr>
    </w:lvl>
  </w:abstractNum>
  <w:abstractNum w:abstractNumId="6" w15:restartNumberingAfterBreak="0">
    <w:nsid w:val="1DC123E1"/>
    <w:multiLevelType w:val="multilevel"/>
    <w:tmpl w:val="BE928762"/>
    <w:styleLink w:val="Style2"/>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 w15:restartNumberingAfterBreak="0">
    <w:nsid w:val="23105B7B"/>
    <w:multiLevelType w:val="multilevel"/>
    <w:tmpl w:val="4B80F638"/>
    <w:name w:val="ma"/>
    <w:lvl w:ilvl="0">
      <w:start w:val="1"/>
      <w:numFmt w:val="upperLetter"/>
      <w:lvlText w:val="%1."/>
      <w:lvlJc w:val="left"/>
      <w:pPr>
        <w:tabs>
          <w:tab w:val="num" w:pos="360"/>
        </w:tabs>
        <w:ind w:left="360" w:hanging="360"/>
      </w:pPr>
      <w:rPr>
        <w:rFonts w:ascii="Arial" w:hAnsi="Arial" w:hint="default"/>
        <w:b/>
        <w:i w:val="0"/>
        <w:u w:val="none"/>
      </w:rPr>
    </w:lvl>
    <w:lvl w:ilvl="1">
      <w:start w:val="1"/>
      <w:numFmt w:val="decimal"/>
      <w:lvlText w:val="%2."/>
      <w:lvlJc w:val="left"/>
      <w:pPr>
        <w:tabs>
          <w:tab w:val="num" w:pos="792"/>
        </w:tabs>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37F710D"/>
    <w:multiLevelType w:val="hybridMultilevel"/>
    <w:tmpl w:val="3E768D9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23EB392B"/>
    <w:multiLevelType w:val="multilevel"/>
    <w:tmpl w:val="348C5228"/>
    <w:name w:val="ma3"/>
    <w:lvl w:ilvl="0">
      <w:start w:val="1"/>
      <w:numFmt w:val="decimal"/>
      <w:lvlText w:val="%1."/>
      <w:lvlJc w:val="left"/>
      <w:pPr>
        <w:tabs>
          <w:tab w:val="num" w:pos="360"/>
        </w:tabs>
        <w:ind w:left="360" w:hanging="360"/>
      </w:pPr>
      <w:rPr>
        <w:rFonts w:hint="default"/>
        <w:b/>
        <w:i w:val="0"/>
        <w:u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4115E97"/>
    <w:multiLevelType w:val="multilevel"/>
    <w:tmpl w:val="8EB2CD86"/>
    <w:name w:val="ma2"/>
    <w:lvl w:ilvl="0">
      <w:start w:val="1"/>
      <w:numFmt w:val="none"/>
      <w:lvlText w:val="1."/>
      <w:lvlJc w:val="left"/>
      <w:pPr>
        <w:tabs>
          <w:tab w:val="num" w:pos="360"/>
        </w:tabs>
        <w:ind w:left="360" w:hanging="360"/>
      </w:pPr>
      <w:rPr>
        <w:rFonts w:hint="default"/>
        <w:b/>
        <w:i w:val="0"/>
        <w:u w:val="none"/>
      </w:rPr>
    </w:lvl>
    <w:lvl w:ilvl="1">
      <w:start w:val="1"/>
      <w:numFmt w:val="decimal"/>
      <w:lvlText w:val="1%1.%2."/>
      <w:lvlJc w:val="left"/>
      <w:pPr>
        <w:tabs>
          <w:tab w:val="num" w:pos="792"/>
        </w:tabs>
        <w:ind w:left="79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A466EF7"/>
    <w:multiLevelType w:val="hybridMultilevel"/>
    <w:tmpl w:val="8CDEB9BC"/>
    <w:lvl w:ilvl="0" w:tplc="FAB81F14">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2" w15:restartNumberingAfterBreak="0">
    <w:nsid w:val="2D46121E"/>
    <w:multiLevelType w:val="multilevel"/>
    <w:tmpl w:val="67661D90"/>
    <w:name w:val="ma"/>
    <w:lvl w:ilvl="0">
      <w:start w:val="1"/>
      <w:numFmt w:val="upperLetter"/>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0E45621"/>
    <w:multiLevelType w:val="multilevel"/>
    <w:tmpl w:val="D338A64C"/>
    <w:lvl w:ilvl="0">
      <w:start w:val="1"/>
      <w:numFmt w:val="decimal"/>
      <w:lvlText w:val="%1."/>
      <w:lvlJc w:val="left"/>
      <w:pPr>
        <w:tabs>
          <w:tab w:val="num" w:pos="567"/>
        </w:tabs>
        <w:ind w:left="567" w:hanging="567"/>
      </w:pPr>
      <w:rPr>
        <w:rFonts w:ascii="Arial" w:hAnsi="Arial" w:hint="default"/>
        <w:b/>
        <w:i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567"/>
      </w:pPr>
      <w:rPr>
        <w:rFonts w:ascii="Arial" w:hAnsi="Arial" w:hint="default"/>
        <w:b w:val="0"/>
        <w:i w:val="0"/>
        <w:strike w:val="0"/>
        <w:dstrike w:val="0"/>
        <w:color w:val="auto"/>
        <w:sz w:val="22"/>
        <w:u w:val="none"/>
        <w:vertAlign w:val="baseline"/>
      </w:rPr>
    </w:lvl>
    <w:lvl w:ilvl="2">
      <w:start w:val="1"/>
      <w:numFmt w:val="decimal"/>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15:restartNumberingAfterBreak="0">
    <w:nsid w:val="377F50D3"/>
    <w:multiLevelType w:val="hybridMultilevel"/>
    <w:tmpl w:val="0FD851BE"/>
    <w:lvl w:ilvl="0" w:tplc="6E54E960">
      <w:start w:val="30"/>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15" w15:restartNumberingAfterBreak="0">
    <w:nsid w:val="384208E5"/>
    <w:multiLevelType w:val="hybridMultilevel"/>
    <w:tmpl w:val="C3CCFAAA"/>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5037268D"/>
    <w:multiLevelType w:val="multilevel"/>
    <w:tmpl w:val="765C1F7A"/>
    <w:lvl w:ilvl="0">
      <w:start w:val="1"/>
      <w:numFmt w:val="upperLetter"/>
      <w:pStyle w:val="Titre1"/>
      <w:lvlText w:val="%1."/>
      <w:lvlJc w:val="left"/>
      <w:pPr>
        <w:ind w:left="720" w:hanging="360"/>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7" w15:restartNumberingAfterBreak="0">
    <w:nsid w:val="56780C12"/>
    <w:multiLevelType w:val="hybridMultilevel"/>
    <w:tmpl w:val="74E88E1E"/>
    <w:lvl w:ilvl="0" w:tplc="851A9990">
      <w:start w:val="8"/>
      <w:numFmt w:val="bullet"/>
      <w:lvlText w:val="-"/>
      <w:lvlJc w:val="left"/>
      <w:pPr>
        <w:ind w:left="1440" w:hanging="360"/>
      </w:pPr>
      <w:rPr>
        <w:rFonts w:ascii="Times New Roman" w:eastAsia="Times New Roman"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8" w15:restartNumberingAfterBreak="0">
    <w:nsid w:val="59AF61A1"/>
    <w:multiLevelType w:val="multilevel"/>
    <w:tmpl w:val="88222B6C"/>
    <w:styleLink w:val="Style1"/>
    <w:lvl w:ilvl="0">
      <w:start w:val="1"/>
      <w:numFmt w:val="decimal"/>
      <w:lvlText w:val="%1."/>
      <w:lvlJc w:val="left"/>
      <w:pPr>
        <w:tabs>
          <w:tab w:val="num" w:pos="360"/>
        </w:tabs>
        <w:ind w:left="360" w:hanging="360"/>
      </w:pPr>
      <w:rPr>
        <w:rFonts w:hint="default"/>
        <w:u w:val="single"/>
      </w:rPr>
    </w:lvl>
    <w:lvl w:ilvl="1">
      <w:start w:val="1"/>
      <w:numFmt w:val="decimal"/>
      <w:lvlText w:val="%1.%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2145B38"/>
    <w:multiLevelType w:val="hybridMultilevel"/>
    <w:tmpl w:val="538C9EBE"/>
    <w:lvl w:ilvl="0" w:tplc="8A7889D2">
      <w:start w:val="1"/>
      <w:numFmt w:val="bullet"/>
      <w:pStyle w:val="Listepuces"/>
      <w:lvlText w:val="-"/>
      <w:lvlJc w:val="left"/>
      <w:pPr>
        <w:ind w:left="720" w:hanging="360"/>
      </w:pPr>
      <w:rPr>
        <w:rFonts w:ascii="Times New Roman" w:hAnsi="Times New Roman" w:cs="Times New Roman" w:hint="default"/>
        <w:b/>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798F2D61"/>
    <w:multiLevelType w:val="hybridMultilevel"/>
    <w:tmpl w:val="2FE85F2E"/>
    <w:lvl w:ilvl="0" w:tplc="A1887296">
      <w:start w:val="1"/>
      <w:numFmt w:val="bullet"/>
      <w:lvlText w:val="-"/>
      <w:lvlJc w:val="left"/>
      <w:pPr>
        <w:ind w:left="1854" w:hanging="360"/>
      </w:pPr>
      <w:rPr>
        <w:rFonts w:ascii="Times New Roman" w:hAnsi="Times New Roman" w:cs="Times New Roman" w:hint="default"/>
        <w:b/>
      </w:rPr>
    </w:lvl>
    <w:lvl w:ilvl="1" w:tplc="080C0003" w:tentative="1">
      <w:start w:val="1"/>
      <w:numFmt w:val="bullet"/>
      <w:lvlText w:val="o"/>
      <w:lvlJc w:val="left"/>
      <w:pPr>
        <w:ind w:left="2574" w:hanging="360"/>
      </w:pPr>
      <w:rPr>
        <w:rFonts w:ascii="Courier New" w:hAnsi="Courier New" w:cs="Courier New" w:hint="default"/>
      </w:rPr>
    </w:lvl>
    <w:lvl w:ilvl="2" w:tplc="080C0005" w:tentative="1">
      <w:start w:val="1"/>
      <w:numFmt w:val="bullet"/>
      <w:lvlText w:val=""/>
      <w:lvlJc w:val="left"/>
      <w:pPr>
        <w:ind w:left="3294" w:hanging="360"/>
      </w:pPr>
      <w:rPr>
        <w:rFonts w:ascii="Wingdings" w:hAnsi="Wingdings" w:hint="default"/>
      </w:rPr>
    </w:lvl>
    <w:lvl w:ilvl="3" w:tplc="080C0001" w:tentative="1">
      <w:start w:val="1"/>
      <w:numFmt w:val="bullet"/>
      <w:lvlText w:val=""/>
      <w:lvlJc w:val="left"/>
      <w:pPr>
        <w:ind w:left="4014" w:hanging="360"/>
      </w:pPr>
      <w:rPr>
        <w:rFonts w:ascii="Symbol" w:hAnsi="Symbol" w:hint="default"/>
      </w:rPr>
    </w:lvl>
    <w:lvl w:ilvl="4" w:tplc="080C0003" w:tentative="1">
      <w:start w:val="1"/>
      <w:numFmt w:val="bullet"/>
      <w:lvlText w:val="o"/>
      <w:lvlJc w:val="left"/>
      <w:pPr>
        <w:ind w:left="4734" w:hanging="360"/>
      </w:pPr>
      <w:rPr>
        <w:rFonts w:ascii="Courier New" w:hAnsi="Courier New" w:cs="Courier New" w:hint="default"/>
      </w:rPr>
    </w:lvl>
    <w:lvl w:ilvl="5" w:tplc="080C0005" w:tentative="1">
      <w:start w:val="1"/>
      <w:numFmt w:val="bullet"/>
      <w:lvlText w:val=""/>
      <w:lvlJc w:val="left"/>
      <w:pPr>
        <w:ind w:left="5454" w:hanging="360"/>
      </w:pPr>
      <w:rPr>
        <w:rFonts w:ascii="Wingdings" w:hAnsi="Wingdings" w:hint="default"/>
      </w:rPr>
    </w:lvl>
    <w:lvl w:ilvl="6" w:tplc="080C0001" w:tentative="1">
      <w:start w:val="1"/>
      <w:numFmt w:val="bullet"/>
      <w:lvlText w:val=""/>
      <w:lvlJc w:val="left"/>
      <w:pPr>
        <w:ind w:left="6174" w:hanging="360"/>
      </w:pPr>
      <w:rPr>
        <w:rFonts w:ascii="Symbol" w:hAnsi="Symbol" w:hint="default"/>
      </w:rPr>
    </w:lvl>
    <w:lvl w:ilvl="7" w:tplc="080C0003" w:tentative="1">
      <w:start w:val="1"/>
      <w:numFmt w:val="bullet"/>
      <w:lvlText w:val="o"/>
      <w:lvlJc w:val="left"/>
      <w:pPr>
        <w:ind w:left="6894" w:hanging="360"/>
      </w:pPr>
      <w:rPr>
        <w:rFonts w:ascii="Courier New" w:hAnsi="Courier New" w:cs="Courier New" w:hint="default"/>
      </w:rPr>
    </w:lvl>
    <w:lvl w:ilvl="8" w:tplc="080C0005" w:tentative="1">
      <w:start w:val="1"/>
      <w:numFmt w:val="bullet"/>
      <w:lvlText w:val=""/>
      <w:lvlJc w:val="left"/>
      <w:pPr>
        <w:ind w:left="7614" w:hanging="360"/>
      </w:pPr>
      <w:rPr>
        <w:rFonts w:ascii="Wingdings" w:hAnsi="Wingdings" w:hint="default"/>
      </w:rPr>
    </w:lvl>
  </w:abstractNum>
  <w:num w:numId="1">
    <w:abstractNumId w:val="13"/>
  </w:num>
  <w:num w:numId="2">
    <w:abstractNumId w:val="12"/>
  </w:num>
  <w:num w:numId="3">
    <w:abstractNumId w:val="12"/>
  </w:num>
  <w:num w:numId="4">
    <w:abstractNumId w:val="18"/>
  </w:num>
  <w:num w:numId="5">
    <w:abstractNumId w:val="19"/>
  </w:num>
  <w:num w:numId="6">
    <w:abstractNumId w:val="5"/>
  </w:num>
  <w:num w:numId="7">
    <w:abstractNumId w:val="15"/>
  </w:num>
  <w:num w:numId="8">
    <w:abstractNumId w:val="0"/>
  </w:num>
  <w:num w:numId="9">
    <w:abstractNumId w:val="14"/>
  </w:num>
  <w:num w:numId="10">
    <w:abstractNumId w:val="1"/>
  </w:num>
  <w:num w:numId="11">
    <w:abstractNumId w:val="20"/>
  </w:num>
  <w:num w:numId="12">
    <w:abstractNumId w:val="1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1"/>
  </w:num>
  <w:num w:numId="16">
    <w:abstractNumId w:val="6"/>
  </w:num>
  <w:num w:numId="17">
    <w:abstractNumId w:val="4"/>
  </w:num>
  <w:num w:numId="18">
    <w:abstractNumId w:val="16"/>
  </w:num>
  <w:num w:numId="19">
    <w:abstractNumId w:val="19"/>
  </w:num>
  <w:num w:numId="20">
    <w:abstractNumId w:val="8"/>
  </w:num>
  <w:num w:numId="21">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ShadeFormData/>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BDC"/>
    <w:rsid w:val="00224BDC"/>
    <w:rsid w:val="00AD16E1"/>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chartTrackingRefBased/>
  <w15:docId w15:val="{EAE75D59-D047-41D5-A75B-8AC504688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288" w:lineRule="auto"/>
      <w:jc w:val="both"/>
    </w:pPr>
    <w:rPr>
      <w:rFonts w:ascii="Calibri" w:hAnsi="Calibri"/>
      <w:sz w:val="22"/>
      <w:szCs w:val="24"/>
      <w:lang w:val="fr-FR" w:eastAsia="fr-FR"/>
    </w:rPr>
  </w:style>
  <w:style w:type="paragraph" w:styleId="Titre1">
    <w:name w:val="heading 1"/>
    <w:basedOn w:val="Normal"/>
    <w:next w:val="Normal"/>
    <w:link w:val="Titre1Car"/>
    <w:autoRedefine/>
    <w:qFormat/>
    <w:pPr>
      <w:keepNext/>
      <w:numPr>
        <w:numId w:val="18"/>
      </w:numPr>
      <w:spacing w:before="480" w:after="360"/>
      <w:ind w:left="284" w:hanging="284"/>
      <w:outlineLvl w:val="0"/>
    </w:pPr>
    <w:rPr>
      <w:rFonts w:ascii="Arial" w:hAnsi="Arial"/>
      <w:b/>
      <w:bCs/>
      <w:kern w:val="32"/>
      <w:szCs w:val="32"/>
      <w:u w:val="single"/>
    </w:rPr>
  </w:style>
  <w:style w:type="paragraph" w:styleId="Titre2">
    <w:name w:val="heading 2"/>
    <w:basedOn w:val="Normal"/>
    <w:next w:val="Normal"/>
    <w:link w:val="Titre2Car"/>
    <w:autoRedefine/>
    <w:qFormat/>
    <w:pPr>
      <w:keepNext/>
      <w:spacing w:before="240" w:after="240"/>
      <w:ind w:left="284"/>
      <w:jc w:val="left"/>
      <w:outlineLvl w:val="1"/>
    </w:pPr>
    <w:rPr>
      <w:rFonts w:cs="Arial"/>
      <w:b/>
      <w:bCs/>
      <w:iCs/>
      <w:sz w:val="24"/>
      <w:szCs w:val="22"/>
      <w:lang w:val="fr-BE"/>
    </w:rPr>
  </w:style>
  <w:style w:type="paragraph" w:styleId="Titre3">
    <w:name w:val="heading 3"/>
    <w:basedOn w:val="Normal"/>
    <w:next w:val="Normal"/>
    <w:link w:val="Titre3Car"/>
    <w:autoRedefine/>
    <w:qFormat/>
    <w:pPr>
      <w:keepNext/>
      <w:autoSpaceDE w:val="0"/>
      <w:autoSpaceDN w:val="0"/>
      <w:adjustRightInd w:val="0"/>
      <w:spacing w:before="240" w:after="240"/>
      <w:ind w:left="284"/>
      <w:outlineLvl w:val="2"/>
    </w:pPr>
    <w:rPr>
      <w:rFonts w:eastAsia="Calibri" w:cs="Calibri"/>
      <w:b/>
      <w:i/>
      <w:szCs w:val="22"/>
      <w:u w:color="000000"/>
    </w:rPr>
  </w:style>
  <w:style w:type="paragraph" w:styleId="Titre4">
    <w:name w:val="heading 4"/>
    <w:basedOn w:val="Normal"/>
    <w:next w:val="Normal"/>
    <w:link w:val="Titre4Car"/>
    <w:qFormat/>
    <w:pPr>
      <w:keepNext/>
      <w:numPr>
        <w:ilvl w:val="3"/>
        <w:numId w:val="1"/>
      </w:numPr>
      <w:spacing w:before="240" w:after="60"/>
      <w:outlineLvl w:val="3"/>
    </w:pPr>
    <w:rPr>
      <w:rFonts w:ascii="Arial" w:hAnsi="Arial"/>
      <w:b/>
      <w:bCs/>
      <w:sz w:val="28"/>
      <w:szCs w:val="28"/>
    </w:rPr>
  </w:style>
  <w:style w:type="paragraph" w:styleId="Titre5">
    <w:name w:val="heading 5"/>
    <w:basedOn w:val="Normal"/>
    <w:next w:val="Normal"/>
    <w:link w:val="Titre5Car"/>
    <w:qFormat/>
    <w:pPr>
      <w:numPr>
        <w:ilvl w:val="4"/>
        <w:numId w:val="1"/>
      </w:numPr>
      <w:spacing w:before="240" w:after="60"/>
      <w:outlineLvl w:val="4"/>
    </w:pPr>
    <w:rPr>
      <w:rFonts w:ascii="Arial" w:hAnsi="Arial"/>
      <w:b/>
      <w:bCs/>
      <w:i/>
      <w:iCs/>
      <w:sz w:val="26"/>
      <w:szCs w:val="26"/>
    </w:rPr>
  </w:style>
  <w:style w:type="paragraph" w:styleId="Titre6">
    <w:name w:val="heading 6"/>
    <w:basedOn w:val="Normal"/>
    <w:next w:val="Normal"/>
    <w:link w:val="Titre6Car"/>
    <w:qFormat/>
    <w:pPr>
      <w:numPr>
        <w:ilvl w:val="5"/>
        <w:numId w:val="1"/>
      </w:numPr>
      <w:spacing w:before="240" w:after="60"/>
      <w:outlineLvl w:val="5"/>
    </w:pPr>
    <w:rPr>
      <w:rFonts w:ascii="Arial" w:hAnsi="Arial"/>
      <w:b/>
      <w:bCs/>
      <w:szCs w:val="22"/>
    </w:rPr>
  </w:style>
  <w:style w:type="paragraph" w:styleId="Titre7">
    <w:name w:val="heading 7"/>
    <w:basedOn w:val="Normal"/>
    <w:next w:val="Normal"/>
    <w:link w:val="Titre7Car"/>
    <w:qFormat/>
    <w:pPr>
      <w:numPr>
        <w:ilvl w:val="6"/>
        <w:numId w:val="1"/>
      </w:numPr>
      <w:spacing w:before="240" w:after="60"/>
      <w:outlineLvl w:val="6"/>
    </w:pPr>
    <w:rPr>
      <w:rFonts w:ascii="Arial" w:hAnsi="Arial"/>
    </w:rPr>
  </w:style>
  <w:style w:type="paragraph" w:styleId="Titre8">
    <w:name w:val="heading 8"/>
    <w:basedOn w:val="Normal"/>
    <w:next w:val="Normal"/>
    <w:link w:val="Titre8Car"/>
    <w:qFormat/>
    <w:pPr>
      <w:numPr>
        <w:ilvl w:val="7"/>
        <w:numId w:val="1"/>
      </w:numPr>
      <w:spacing w:before="240" w:after="60"/>
      <w:outlineLvl w:val="7"/>
    </w:pPr>
    <w:rPr>
      <w:rFonts w:ascii="Arial" w:hAnsi="Arial"/>
      <w:i/>
      <w:iCs/>
    </w:rPr>
  </w:style>
  <w:style w:type="paragraph" w:styleId="Titre9">
    <w:name w:val="heading 9"/>
    <w:basedOn w:val="Normal"/>
    <w:next w:val="Normal"/>
    <w:link w:val="Titre9Car"/>
    <w:qFormat/>
    <w:pPr>
      <w:numPr>
        <w:ilvl w:val="8"/>
        <w:numId w:val="1"/>
      </w:numPr>
      <w:spacing w:before="240" w:after="60"/>
      <w:outlineLvl w:val="8"/>
    </w:pPr>
    <w:rPr>
      <w:rFonts w:ascii="Arial" w:hAnsi="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customStyle="1" w:styleId="st1">
    <w:name w:val="st1"/>
    <w:basedOn w:val="Policepardfaut"/>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lang w:val="fr-FR" w:eastAsia="fr-FR"/>
    </w:rPr>
  </w:style>
  <w:style w:type="paragraph" w:styleId="NormalWeb">
    <w:name w:val="Normal (Web)"/>
    <w:basedOn w:val="Normal"/>
    <w:uiPriority w:val="99"/>
    <w:pPr>
      <w:spacing w:before="100" w:beforeAutospacing="1" w:after="100" w:afterAutospacing="1"/>
    </w:pPr>
  </w:style>
  <w:style w:type="paragraph" w:styleId="Notedebasdepage">
    <w:name w:val="footnote text"/>
    <w:basedOn w:val="Normal"/>
    <w:link w:val="NotedebasdepageCar"/>
    <w:uiPriority w:val="99"/>
    <w:rPr>
      <w:sz w:val="20"/>
      <w:szCs w:val="20"/>
    </w:rPr>
  </w:style>
  <w:style w:type="character" w:styleId="Appelnotedebasdep">
    <w:name w:val="footnote reference"/>
    <w:uiPriority w:val="99"/>
    <w:rPr>
      <w:vertAlign w:val="superscript"/>
    </w:rPr>
  </w:style>
  <w:style w:type="character" w:styleId="Lienhypertexte">
    <w:name w:val="Hyperlink"/>
    <w:uiPriority w:val="99"/>
    <w:rPr>
      <w:color w:val="0000FF"/>
      <w:u w:val="single"/>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rPr>
      <w:sz w:val="20"/>
      <w:szCs w:val="20"/>
    </w:rPr>
  </w:style>
  <w:style w:type="paragraph" w:styleId="Objetducommentaire">
    <w:name w:val="annotation subject"/>
    <w:basedOn w:val="Commentaire"/>
    <w:next w:val="Commentaire"/>
    <w:link w:val="ObjetducommentaireCar"/>
    <w:uiPriority w:val="99"/>
    <w:semiHidden/>
    <w:rPr>
      <w:b/>
      <w:bCs/>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customStyle="1" w:styleId="Listemoyenne2-Accent41">
    <w:name w:val="Liste moyenne 2 - Accent 41"/>
    <w:basedOn w:val="Normal"/>
    <w:uiPriority w:val="34"/>
    <w:qFormat/>
    <w:pPr>
      <w:ind w:left="708"/>
    </w:pPr>
  </w:style>
  <w:style w:type="character" w:customStyle="1" w:styleId="Titre1Car">
    <w:name w:val="Titre 1 Car"/>
    <w:link w:val="Titre1"/>
    <w:rPr>
      <w:rFonts w:ascii="Arial" w:hAnsi="Arial"/>
      <w:b/>
      <w:bCs/>
      <w:kern w:val="32"/>
      <w:sz w:val="22"/>
      <w:szCs w:val="32"/>
      <w:u w:val="single"/>
      <w:lang w:val="fr-FR" w:eastAsia="fr-FR"/>
    </w:rPr>
  </w:style>
  <w:style w:type="character" w:customStyle="1" w:styleId="Titre2Car">
    <w:name w:val="Titre 2 Car"/>
    <w:link w:val="Titre2"/>
    <w:rPr>
      <w:rFonts w:ascii="Calibri" w:hAnsi="Calibri" w:cs="Arial"/>
      <w:b/>
      <w:bCs/>
      <w:iCs/>
      <w:sz w:val="24"/>
      <w:szCs w:val="22"/>
      <w:lang w:eastAsia="fr-FR"/>
    </w:rPr>
  </w:style>
  <w:style w:type="character" w:customStyle="1" w:styleId="Titre3Car">
    <w:name w:val="Titre 3 Car"/>
    <w:link w:val="Titre3"/>
    <w:rPr>
      <w:rFonts w:ascii="Calibri" w:eastAsia="Calibri" w:hAnsi="Calibri" w:cs="Calibri"/>
      <w:b/>
      <w:i/>
      <w:sz w:val="22"/>
      <w:szCs w:val="22"/>
      <w:u w:color="000000"/>
      <w:lang w:val="fr-FR" w:eastAsia="fr-FR"/>
    </w:rPr>
  </w:style>
  <w:style w:type="character" w:customStyle="1" w:styleId="Titre4Car">
    <w:name w:val="Titre 4 Car"/>
    <w:link w:val="Titre4"/>
    <w:rPr>
      <w:rFonts w:ascii="Arial" w:hAnsi="Arial"/>
      <w:b/>
      <w:bCs/>
      <w:sz w:val="28"/>
      <w:szCs w:val="28"/>
      <w:lang w:val="fr-FR" w:eastAsia="fr-FR"/>
    </w:rPr>
  </w:style>
  <w:style w:type="character" w:customStyle="1" w:styleId="Titre5Car">
    <w:name w:val="Titre 5 Car"/>
    <w:link w:val="Titre5"/>
    <w:rPr>
      <w:rFonts w:ascii="Arial" w:hAnsi="Arial"/>
      <w:b/>
      <w:bCs/>
      <w:i/>
      <w:iCs/>
      <w:sz w:val="26"/>
      <w:szCs w:val="26"/>
      <w:lang w:val="fr-FR" w:eastAsia="fr-FR"/>
    </w:rPr>
  </w:style>
  <w:style w:type="character" w:customStyle="1" w:styleId="Titre6Car">
    <w:name w:val="Titre 6 Car"/>
    <w:link w:val="Titre6"/>
    <w:rPr>
      <w:rFonts w:ascii="Arial" w:hAnsi="Arial"/>
      <w:b/>
      <w:bCs/>
      <w:sz w:val="22"/>
      <w:szCs w:val="22"/>
      <w:lang w:val="fr-FR" w:eastAsia="fr-FR"/>
    </w:rPr>
  </w:style>
  <w:style w:type="character" w:customStyle="1" w:styleId="Titre7Car">
    <w:name w:val="Titre 7 Car"/>
    <w:link w:val="Titre7"/>
    <w:rPr>
      <w:rFonts w:ascii="Arial" w:hAnsi="Arial"/>
      <w:sz w:val="22"/>
      <w:szCs w:val="24"/>
      <w:lang w:val="fr-FR" w:eastAsia="fr-FR"/>
    </w:rPr>
  </w:style>
  <w:style w:type="character" w:customStyle="1" w:styleId="Titre8Car">
    <w:name w:val="Titre 8 Car"/>
    <w:link w:val="Titre8"/>
    <w:rPr>
      <w:rFonts w:ascii="Arial" w:hAnsi="Arial"/>
      <w:i/>
      <w:iCs/>
      <w:sz w:val="22"/>
      <w:szCs w:val="24"/>
      <w:lang w:val="fr-FR" w:eastAsia="fr-FR"/>
    </w:rPr>
  </w:style>
  <w:style w:type="character" w:customStyle="1" w:styleId="Titre9Car">
    <w:name w:val="Titre 9 Car"/>
    <w:link w:val="Titre9"/>
    <w:rPr>
      <w:rFonts w:ascii="Arial" w:hAnsi="Arial"/>
      <w:sz w:val="22"/>
      <w:szCs w:val="22"/>
      <w:lang w:val="fr-FR" w:eastAsia="fr-FR"/>
    </w:rPr>
  </w:style>
  <w:style w:type="paragraph" w:styleId="Retraitcorpsdetexte3">
    <w:name w:val="Body Text Indent 3"/>
    <w:basedOn w:val="Normal"/>
    <w:link w:val="Retraitcorpsdetexte3Car"/>
    <w:pPr>
      <w:pBdr>
        <w:left w:val="single" w:sz="36" w:space="31" w:color="FF0000"/>
      </w:pBdr>
      <w:ind w:firstLine="567"/>
    </w:pPr>
    <w:rPr>
      <w:rFonts w:ascii="Arial" w:hAnsi="Arial"/>
      <w:szCs w:val="22"/>
    </w:rPr>
  </w:style>
  <w:style w:type="character" w:customStyle="1" w:styleId="Retraitcorpsdetexte3Car">
    <w:name w:val="Retrait corps de texte 3 Car"/>
    <w:link w:val="Retraitcorpsdetexte3"/>
    <w:rPr>
      <w:rFonts w:ascii="Arial" w:hAnsi="Arial"/>
      <w:sz w:val="22"/>
      <w:szCs w:val="22"/>
      <w:lang w:val="fr-FR" w:eastAsia="fr-FR"/>
    </w:rPr>
  </w:style>
  <w:style w:type="table" w:styleId="Grilledutableau">
    <w:name w:val="Table Grid"/>
    <w:basedOn w:val="TableauNormal"/>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amecouleur-Accent31">
    <w:name w:val="Trame couleur - Accent 31"/>
    <w:basedOn w:val="Normal"/>
    <w:uiPriority w:val="34"/>
    <w:qFormat/>
    <w:pPr>
      <w:ind w:left="708"/>
    </w:pPr>
  </w:style>
  <w:style w:type="paragraph" w:customStyle="1" w:styleId="Grilleclaire-Accent31">
    <w:name w:val="Grille claire - Accent 31"/>
    <w:basedOn w:val="Normal"/>
    <w:uiPriority w:val="34"/>
    <w:qFormat/>
    <w:pPr>
      <w:ind w:left="708"/>
    </w:pPr>
  </w:style>
  <w:style w:type="paragraph" w:customStyle="1" w:styleId="Listecouleur-Accent11">
    <w:name w:val="Liste couleur - Accent 11"/>
    <w:basedOn w:val="Normal"/>
    <w:uiPriority w:val="34"/>
    <w:qFormat/>
    <w:pPr>
      <w:spacing w:after="200" w:line="276" w:lineRule="auto"/>
      <w:ind w:left="720"/>
      <w:contextualSpacing/>
    </w:pPr>
    <w:rPr>
      <w:rFonts w:eastAsia="Calibri"/>
      <w:szCs w:val="22"/>
      <w:lang w:val="fr-BE" w:eastAsia="en-US"/>
    </w:rPr>
  </w:style>
  <w:style w:type="character" w:customStyle="1" w:styleId="NotedebasdepageCar">
    <w:name w:val="Note de bas de page Car"/>
    <w:link w:val="Notedebasdepage"/>
    <w:uiPriority w:val="99"/>
    <w:rPr>
      <w:lang w:val="fr-FR" w:eastAsia="fr-FR"/>
    </w:rPr>
  </w:style>
  <w:style w:type="paragraph" w:customStyle="1" w:styleId="Standard">
    <w:name w:val="Standard"/>
    <w:pPr>
      <w:widowControl w:val="0"/>
      <w:suppressAutoHyphens/>
      <w:autoSpaceDN w:val="0"/>
      <w:textAlignment w:val="baseline"/>
    </w:pPr>
    <w:rPr>
      <w:rFonts w:eastAsia="SimSun" w:cs="Mangal"/>
      <w:kern w:val="3"/>
      <w:sz w:val="24"/>
      <w:szCs w:val="24"/>
      <w:lang w:eastAsia="zh-CN" w:bidi="hi-IN"/>
    </w:rPr>
  </w:style>
  <w:style w:type="paragraph" w:customStyle="1" w:styleId="TableauGrille31">
    <w:name w:val="Tableau Grille 31"/>
    <w:basedOn w:val="Titre1"/>
    <w:next w:val="Normal"/>
    <w:uiPriority w:val="39"/>
    <w:unhideWhenUsed/>
    <w:qFormat/>
    <w:pPr>
      <w:keepLines/>
      <w:spacing w:after="0" w:line="259" w:lineRule="auto"/>
      <w:jc w:val="left"/>
      <w:outlineLvl w:val="9"/>
    </w:pPr>
    <w:rPr>
      <w:rFonts w:ascii="Calibri Light" w:hAnsi="Calibri Light"/>
      <w:b w:val="0"/>
      <w:bCs w:val="0"/>
      <w:color w:val="2E74B5"/>
      <w:kern w:val="0"/>
      <w:sz w:val="32"/>
      <w:u w:val="none"/>
      <w:lang w:val="fr-BE" w:eastAsia="fr-BE"/>
    </w:rPr>
  </w:style>
  <w:style w:type="paragraph" w:styleId="TM2">
    <w:name w:val="toc 2"/>
    <w:basedOn w:val="Normal"/>
    <w:next w:val="Normal"/>
    <w:autoRedefine/>
    <w:uiPriority w:val="39"/>
    <w:pPr>
      <w:tabs>
        <w:tab w:val="left" w:pos="720"/>
        <w:tab w:val="right" w:leader="underscore" w:pos="9733"/>
      </w:tabs>
      <w:spacing w:before="120"/>
      <w:ind w:left="240"/>
    </w:pPr>
    <w:rPr>
      <w:b/>
      <w:bCs/>
      <w:szCs w:val="22"/>
    </w:rPr>
  </w:style>
  <w:style w:type="paragraph" w:styleId="TM1">
    <w:name w:val="toc 1"/>
    <w:basedOn w:val="Normal"/>
    <w:next w:val="Normal"/>
    <w:autoRedefine/>
    <w:uiPriority w:val="39"/>
    <w:pPr>
      <w:spacing w:before="120"/>
    </w:pPr>
    <w:rPr>
      <w:b/>
      <w:bCs/>
      <w:i/>
      <w:iCs/>
    </w:rPr>
  </w:style>
  <w:style w:type="paragraph" w:styleId="TM3">
    <w:name w:val="toc 3"/>
    <w:basedOn w:val="Normal"/>
    <w:next w:val="Normal"/>
    <w:autoRedefine/>
    <w:uiPriority w:val="39"/>
    <w:pPr>
      <w:ind w:left="480"/>
    </w:pPr>
    <w:rPr>
      <w:sz w:val="20"/>
      <w:szCs w:val="20"/>
    </w:rPr>
  </w:style>
  <w:style w:type="paragraph" w:styleId="TM4">
    <w:name w:val="toc 4"/>
    <w:basedOn w:val="Normal"/>
    <w:next w:val="Normal"/>
    <w:autoRedefine/>
    <w:uiPriority w:val="39"/>
    <w:pPr>
      <w:ind w:left="720"/>
    </w:pPr>
    <w:rPr>
      <w:sz w:val="20"/>
      <w:szCs w:val="20"/>
    </w:rPr>
  </w:style>
  <w:style w:type="paragraph" w:styleId="TM5">
    <w:name w:val="toc 5"/>
    <w:basedOn w:val="Normal"/>
    <w:next w:val="Normal"/>
    <w:autoRedefine/>
    <w:uiPriority w:val="39"/>
    <w:pPr>
      <w:ind w:left="960"/>
    </w:pPr>
    <w:rPr>
      <w:sz w:val="20"/>
      <w:szCs w:val="20"/>
    </w:rPr>
  </w:style>
  <w:style w:type="paragraph" w:styleId="TM6">
    <w:name w:val="toc 6"/>
    <w:basedOn w:val="Normal"/>
    <w:next w:val="Normal"/>
    <w:autoRedefine/>
    <w:uiPriority w:val="39"/>
    <w:pPr>
      <w:ind w:left="1200"/>
    </w:pPr>
    <w:rPr>
      <w:sz w:val="20"/>
      <w:szCs w:val="20"/>
    </w:rPr>
  </w:style>
  <w:style w:type="paragraph" w:styleId="TM7">
    <w:name w:val="toc 7"/>
    <w:basedOn w:val="Normal"/>
    <w:next w:val="Normal"/>
    <w:autoRedefine/>
    <w:uiPriority w:val="39"/>
    <w:pPr>
      <w:ind w:left="1440"/>
    </w:pPr>
    <w:rPr>
      <w:sz w:val="20"/>
      <w:szCs w:val="20"/>
    </w:rPr>
  </w:style>
  <w:style w:type="paragraph" w:styleId="TM8">
    <w:name w:val="toc 8"/>
    <w:basedOn w:val="Normal"/>
    <w:next w:val="Normal"/>
    <w:autoRedefine/>
    <w:uiPriority w:val="39"/>
    <w:pPr>
      <w:ind w:left="1680"/>
    </w:pPr>
    <w:rPr>
      <w:sz w:val="20"/>
      <w:szCs w:val="20"/>
    </w:rPr>
  </w:style>
  <w:style w:type="paragraph" w:styleId="TM9">
    <w:name w:val="toc 9"/>
    <w:basedOn w:val="Normal"/>
    <w:next w:val="Normal"/>
    <w:autoRedefine/>
    <w:uiPriority w:val="39"/>
    <w:pPr>
      <w:ind w:left="1920"/>
    </w:pPr>
    <w:rPr>
      <w:sz w:val="20"/>
      <w:szCs w:val="20"/>
    </w:rPr>
  </w:style>
  <w:style w:type="numbering" w:customStyle="1" w:styleId="Style1">
    <w:name w:val="Style1"/>
    <w:pPr>
      <w:numPr>
        <w:numId w:val="4"/>
      </w:numPr>
    </w:pPr>
  </w:style>
  <w:style w:type="paragraph" w:customStyle="1" w:styleId="Tramecouleur-Accent11">
    <w:name w:val="Trame couleur - Accent 11"/>
    <w:hidden/>
    <w:uiPriority w:val="99"/>
    <w:semiHidden/>
    <w:rPr>
      <w:sz w:val="24"/>
      <w:szCs w:val="24"/>
      <w:lang w:val="fr-FR" w:eastAsia="fr-FR"/>
    </w:rPr>
  </w:style>
  <w:style w:type="character" w:customStyle="1" w:styleId="PieddepageCar">
    <w:name w:val="Pied de page Car"/>
    <w:link w:val="Pieddepage"/>
    <w:uiPriority w:val="99"/>
    <w:rPr>
      <w:sz w:val="24"/>
      <w:szCs w:val="24"/>
      <w:lang w:val="fr-FR" w:eastAsia="fr-FR"/>
    </w:rPr>
  </w:style>
  <w:style w:type="paragraph" w:styleId="Paragraphedeliste">
    <w:name w:val="List Paragraph"/>
    <w:basedOn w:val="Normal"/>
    <w:uiPriority w:val="34"/>
    <w:qFormat/>
    <w:pPr>
      <w:widowControl w:val="0"/>
      <w:spacing w:after="200" w:line="276" w:lineRule="auto"/>
      <w:ind w:left="720"/>
      <w:contextualSpacing/>
    </w:pPr>
    <w:rPr>
      <w:rFonts w:eastAsia="Calibri"/>
      <w:szCs w:val="22"/>
      <w:lang w:val="en-US" w:eastAsia="en-US"/>
    </w:rPr>
  </w:style>
  <w:style w:type="numbering" w:customStyle="1" w:styleId="Aucuneliste1">
    <w:name w:val="Aucune liste1"/>
    <w:next w:val="Aucuneliste"/>
    <w:uiPriority w:val="99"/>
    <w:semiHidden/>
    <w:unhideWhenUsed/>
  </w:style>
  <w:style w:type="character" w:customStyle="1" w:styleId="Lienhypertexte1">
    <w:name w:val="Lien hypertexte1"/>
    <w:uiPriority w:val="99"/>
    <w:unhideWhenUsed/>
    <w:rPr>
      <w:color w:val="0000FF"/>
      <w:u w:val="single"/>
    </w:rPr>
  </w:style>
  <w:style w:type="character" w:customStyle="1" w:styleId="TextedebullesCar">
    <w:name w:val="Texte de bulles Car"/>
    <w:link w:val="Textedebulles"/>
    <w:uiPriority w:val="99"/>
    <w:semiHidden/>
    <w:rPr>
      <w:rFonts w:ascii="Tahoma" w:hAnsi="Tahoma" w:cs="Tahoma"/>
      <w:sz w:val="16"/>
      <w:szCs w:val="16"/>
      <w:lang w:val="fr-FR" w:eastAsia="fr-FR"/>
    </w:rPr>
  </w:style>
  <w:style w:type="character" w:customStyle="1" w:styleId="En-tteCar">
    <w:name w:val="En-tête Car"/>
    <w:link w:val="En-tte"/>
    <w:uiPriority w:val="99"/>
    <w:rPr>
      <w:sz w:val="24"/>
      <w:szCs w:val="24"/>
      <w:lang w:val="fr-FR" w:eastAsia="fr-FR"/>
    </w:rPr>
  </w:style>
  <w:style w:type="paragraph" w:styleId="Rvision">
    <w:name w:val="Revision"/>
    <w:hidden/>
    <w:uiPriority w:val="99"/>
    <w:semiHidden/>
    <w:rPr>
      <w:rFonts w:ascii="Calibri" w:eastAsia="Calibri" w:hAnsi="Calibri"/>
      <w:sz w:val="22"/>
      <w:szCs w:val="22"/>
      <w:lang w:val="en-US" w:eastAsia="en-US"/>
    </w:rPr>
  </w:style>
  <w:style w:type="character" w:customStyle="1" w:styleId="CommentaireCar">
    <w:name w:val="Commentaire Car"/>
    <w:link w:val="Commentaire"/>
    <w:uiPriority w:val="99"/>
    <w:semiHidden/>
    <w:rPr>
      <w:lang w:val="fr-FR" w:eastAsia="fr-FR"/>
    </w:rPr>
  </w:style>
  <w:style w:type="character" w:customStyle="1" w:styleId="ObjetducommentaireCar">
    <w:name w:val="Objet du commentaire Car"/>
    <w:link w:val="Objetducommentaire"/>
    <w:uiPriority w:val="99"/>
    <w:semiHidden/>
    <w:rPr>
      <w:b/>
      <w:bCs/>
      <w:lang w:val="fr-FR" w:eastAsia="fr-FR"/>
    </w:rPr>
  </w:style>
  <w:style w:type="paragraph" w:customStyle="1" w:styleId="titre3n">
    <w:name w:val="titre3_n"/>
    <w:basedOn w:val="Normal"/>
    <w:link w:val="titre3nCar"/>
    <w:autoRedefine/>
    <w:qFormat/>
    <w:pPr>
      <w:widowControl w:val="0"/>
      <w:numPr>
        <w:ilvl w:val="2"/>
        <w:numId w:val="8"/>
      </w:numPr>
      <w:spacing w:before="120"/>
      <w:ind w:left="1356" w:hanging="647"/>
    </w:pPr>
    <w:rPr>
      <w:rFonts w:eastAsia="Calibri" w:cs="Calibri"/>
      <w:szCs w:val="22"/>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Calibri Light" w:hAnsi="Calibri Light"/>
      <w:b w:val="0"/>
      <w:bCs w:val="0"/>
      <w:color w:val="2E74B5"/>
      <w:kern w:val="0"/>
      <w:sz w:val="32"/>
      <w:u w:val="none"/>
      <w:lang w:val="fr-BE" w:eastAsia="fr-BE"/>
    </w:rPr>
  </w:style>
  <w:style w:type="character" w:customStyle="1" w:styleId="titre3nCar">
    <w:name w:val="titre3_n Car"/>
    <w:link w:val="titre3n"/>
    <w:rPr>
      <w:rFonts w:ascii="Calibri" w:eastAsia="Calibri" w:hAnsi="Calibri" w:cs="Calibri"/>
      <w:sz w:val="22"/>
      <w:szCs w:val="22"/>
      <w:lang w:val="fr-FR" w:eastAsia="fr-FR"/>
    </w:rPr>
  </w:style>
  <w:style w:type="paragraph" w:styleId="Sansinterligne">
    <w:name w:val="No Spacing"/>
    <w:uiPriority w:val="1"/>
    <w:qFormat/>
    <w:rPr>
      <w:sz w:val="24"/>
      <w:szCs w:val="24"/>
      <w:lang w:val="fr-FR" w:eastAsia="fr-FR"/>
    </w:rPr>
  </w:style>
  <w:style w:type="character" w:styleId="Lienhypertextesuivivisit">
    <w:name w:val="FollowedHyperlink"/>
    <w:rPr>
      <w:color w:val="954F72"/>
      <w:u w:val="single"/>
    </w:rPr>
  </w:style>
  <w:style w:type="paragraph" w:customStyle="1" w:styleId="Listepuces">
    <w:name w:val="Liste puces"/>
    <w:basedOn w:val="Normal"/>
    <w:qFormat/>
    <w:pPr>
      <w:numPr>
        <w:numId w:val="5"/>
      </w:numPr>
      <w:spacing w:before="120"/>
      <w:ind w:left="709" w:hanging="357"/>
      <w:contextualSpacing/>
    </w:pPr>
    <w:rPr>
      <w:rFonts w:eastAsia="Calibri" w:cs="Calibri"/>
      <w:color w:val="000000"/>
      <w:szCs w:val="22"/>
    </w:rPr>
  </w:style>
  <w:style w:type="paragraph" w:customStyle="1" w:styleId="Encadrlgislatif">
    <w:name w:val="Encadré législatif"/>
    <w:basedOn w:val="Standard"/>
    <w:qFormat/>
    <w:pPr>
      <w:pBdr>
        <w:top w:val="single" w:sz="4" w:space="1" w:color="auto"/>
        <w:left w:val="single" w:sz="4" w:space="3" w:color="auto"/>
        <w:bottom w:val="single" w:sz="4" w:space="1" w:color="auto"/>
        <w:right w:val="single" w:sz="4" w:space="4" w:color="auto"/>
      </w:pBdr>
      <w:spacing w:after="240"/>
      <w:ind w:left="284" w:right="198"/>
      <w:contextualSpacing/>
      <w:jc w:val="both"/>
    </w:pPr>
    <w:rPr>
      <w:rFonts w:ascii="Calibri" w:hAnsi="Calibri" w:cs="Arial"/>
      <w:i/>
      <w:sz w:val="20"/>
      <w:szCs w:val="20"/>
    </w:rPr>
  </w:style>
  <w:style w:type="numbering" w:customStyle="1" w:styleId="Style2">
    <w:name w:val="Style2"/>
    <w:uiPriority w:val="99"/>
    <w:pPr>
      <w:numPr>
        <w:numId w:val="16"/>
      </w:numPr>
    </w:pPr>
  </w:style>
  <w:style w:type="paragraph" w:styleId="Titre">
    <w:name w:val="Title"/>
    <w:basedOn w:val="Normal"/>
    <w:next w:val="Normal"/>
    <w:link w:val="TitreCar"/>
    <w:qFormat/>
    <w:pPr>
      <w:spacing w:after="0" w:line="240" w:lineRule="auto"/>
      <w:contextualSpacing/>
      <w:jc w:val="center"/>
    </w:pPr>
    <w:rPr>
      <w:rFonts w:ascii="Arial" w:eastAsiaTheme="majorEastAsia" w:hAnsi="Arial" w:cs="Arial"/>
      <w:spacing w:val="-10"/>
      <w:kern w:val="28"/>
      <w:sz w:val="32"/>
      <w:szCs w:val="56"/>
      <w:lang w:val="fr-BE"/>
    </w:rPr>
  </w:style>
  <w:style w:type="character" w:customStyle="1" w:styleId="TitreCar">
    <w:name w:val="Titre Car"/>
    <w:basedOn w:val="Policepardfaut"/>
    <w:link w:val="Titre"/>
    <w:rPr>
      <w:rFonts w:ascii="Arial" w:eastAsiaTheme="majorEastAsia" w:hAnsi="Arial" w:cs="Arial"/>
      <w:spacing w:val="-10"/>
      <w:kern w:val="28"/>
      <w:sz w:val="32"/>
      <w:szCs w:val="56"/>
      <w:lang w:eastAsia="fr-FR"/>
    </w:rPr>
  </w:style>
  <w:style w:type="table" w:customStyle="1" w:styleId="Grilledutableau1">
    <w:name w:val="Grille du tableau1"/>
    <w:basedOn w:val="TableauNormal"/>
    <w:next w:val="Grilledutableau"/>
    <w:uiPriority w:val="3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358771">
      <w:bodyDiv w:val="1"/>
      <w:marLeft w:val="0"/>
      <w:marRight w:val="0"/>
      <w:marTop w:val="0"/>
      <w:marBottom w:val="0"/>
      <w:divBdr>
        <w:top w:val="none" w:sz="0" w:space="0" w:color="auto"/>
        <w:left w:val="none" w:sz="0" w:space="0" w:color="auto"/>
        <w:bottom w:val="none" w:sz="0" w:space="0" w:color="auto"/>
        <w:right w:val="none" w:sz="0" w:space="0" w:color="auto"/>
      </w:divBdr>
    </w:div>
    <w:div w:id="340670553">
      <w:bodyDiv w:val="1"/>
      <w:marLeft w:val="0"/>
      <w:marRight w:val="0"/>
      <w:marTop w:val="0"/>
      <w:marBottom w:val="0"/>
      <w:divBdr>
        <w:top w:val="none" w:sz="0" w:space="0" w:color="auto"/>
        <w:left w:val="none" w:sz="0" w:space="0" w:color="auto"/>
        <w:bottom w:val="none" w:sz="0" w:space="0" w:color="auto"/>
        <w:right w:val="none" w:sz="0" w:space="0" w:color="auto"/>
      </w:divBdr>
    </w:div>
    <w:div w:id="352196536">
      <w:bodyDiv w:val="1"/>
      <w:marLeft w:val="0"/>
      <w:marRight w:val="0"/>
      <w:marTop w:val="0"/>
      <w:marBottom w:val="0"/>
      <w:divBdr>
        <w:top w:val="none" w:sz="0" w:space="0" w:color="auto"/>
        <w:left w:val="none" w:sz="0" w:space="0" w:color="auto"/>
        <w:bottom w:val="none" w:sz="0" w:space="0" w:color="auto"/>
        <w:right w:val="none" w:sz="0" w:space="0" w:color="auto"/>
      </w:divBdr>
    </w:div>
    <w:div w:id="456290822">
      <w:bodyDiv w:val="1"/>
      <w:marLeft w:val="0"/>
      <w:marRight w:val="0"/>
      <w:marTop w:val="0"/>
      <w:marBottom w:val="0"/>
      <w:divBdr>
        <w:top w:val="none" w:sz="0" w:space="0" w:color="auto"/>
        <w:left w:val="none" w:sz="0" w:space="0" w:color="auto"/>
        <w:bottom w:val="none" w:sz="0" w:space="0" w:color="auto"/>
        <w:right w:val="none" w:sz="0" w:space="0" w:color="auto"/>
      </w:divBdr>
    </w:div>
    <w:div w:id="587617939">
      <w:bodyDiv w:val="1"/>
      <w:marLeft w:val="0"/>
      <w:marRight w:val="0"/>
      <w:marTop w:val="0"/>
      <w:marBottom w:val="0"/>
      <w:divBdr>
        <w:top w:val="none" w:sz="0" w:space="0" w:color="auto"/>
        <w:left w:val="none" w:sz="0" w:space="0" w:color="auto"/>
        <w:bottom w:val="none" w:sz="0" w:space="0" w:color="auto"/>
        <w:right w:val="none" w:sz="0" w:space="0" w:color="auto"/>
      </w:divBdr>
    </w:div>
    <w:div w:id="644625075">
      <w:bodyDiv w:val="1"/>
      <w:marLeft w:val="0"/>
      <w:marRight w:val="0"/>
      <w:marTop w:val="0"/>
      <w:marBottom w:val="0"/>
      <w:divBdr>
        <w:top w:val="none" w:sz="0" w:space="0" w:color="auto"/>
        <w:left w:val="none" w:sz="0" w:space="0" w:color="auto"/>
        <w:bottom w:val="none" w:sz="0" w:space="0" w:color="auto"/>
        <w:right w:val="none" w:sz="0" w:space="0" w:color="auto"/>
      </w:divBdr>
    </w:div>
    <w:div w:id="742488331">
      <w:bodyDiv w:val="1"/>
      <w:marLeft w:val="0"/>
      <w:marRight w:val="0"/>
      <w:marTop w:val="0"/>
      <w:marBottom w:val="0"/>
      <w:divBdr>
        <w:top w:val="none" w:sz="0" w:space="0" w:color="auto"/>
        <w:left w:val="none" w:sz="0" w:space="0" w:color="auto"/>
        <w:bottom w:val="none" w:sz="0" w:space="0" w:color="auto"/>
        <w:right w:val="none" w:sz="0" w:space="0" w:color="auto"/>
      </w:divBdr>
    </w:div>
    <w:div w:id="793908576">
      <w:bodyDiv w:val="1"/>
      <w:marLeft w:val="0"/>
      <w:marRight w:val="0"/>
      <w:marTop w:val="0"/>
      <w:marBottom w:val="0"/>
      <w:divBdr>
        <w:top w:val="none" w:sz="0" w:space="0" w:color="auto"/>
        <w:left w:val="none" w:sz="0" w:space="0" w:color="auto"/>
        <w:bottom w:val="none" w:sz="0" w:space="0" w:color="auto"/>
        <w:right w:val="none" w:sz="0" w:space="0" w:color="auto"/>
      </w:divBdr>
    </w:div>
    <w:div w:id="820385377">
      <w:bodyDiv w:val="1"/>
      <w:marLeft w:val="0"/>
      <w:marRight w:val="0"/>
      <w:marTop w:val="0"/>
      <w:marBottom w:val="0"/>
      <w:divBdr>
        <w:top w:val="none" w:sz="0" w:space="0" w:color="auto"/>
        <w:left w:val="none" w:sz="0" w:space="0" w:color="auto"/>
        <w:bottom w:val="none" w:sz="0" w:space="0" w:color="auto"/>
        <w:right w:val="none" w:sz="0" w:space="0" w:color="auto"/>
      </w:divBdr>
    </w:div>
    <w:div w:id="860902611">
      <w:bodyDiv w:val="1"/>
      <w:marLeft w:val="0"/>
      <w:marRight w:val="0"/>
      <w:marTop w:val="0"/>
      <w:marBottom w:val="0"/>
      <w:divBdr>
        <w:top w:val="none" w:sz="0" w:space="0" w:color="auto"/>
        <w:left w:val="none" w:sz="0" w:space="0" w:color="auto"/>
        <w:bottom w:val="none" w:sz="0" w:space="0" w:color="auto"/>
        <w:right w:val="none" w:sz="0" w:space="0" w:color="auto"/>
      </w:divBdr>
    </w:div>
    <w:div w:id="1065958829">
      <w:bodyDiv w:val="1"/>
      <w:marLeft w:val="0"/>
      <w:marRight w:val="0"/>
      <w:marTop w:val="0"/>
      <w:marBottom w:val="0"/>
      <w:divBdr>
        <w:top w:val="none" w:sz="0" w:space="0" w:color="auto"/>
        <w:left w:val="none" w:sz="0" w:space="0" w:color="auto"/>
        <w:bottom w:val="none" w:sz="0" w:space="0" w:color="auto"/>
        <w:right w:val="none" w:sz="0" w:space="0" w:color="auto"/>
      </w:divBdr>
    </w:div>
    <w:div w:id="1090858668">
      <w:bodyDiv w:val="1"/>
      <w:marLeft w:val="0"/>
      <w:marRight w:val="0"/>
      <w:marTop w:val="0"/>
      <w:marBottom w:val="0"/>
      <w:divBdr>
        <w:top w:val="none" w:sz="0" w:space="0" w:color="auto"/>
        <w:left w:val="none" w:sz="0" w:space="0" w:color="auto"/>
        <w:bottom w:val="none" w:sz="0" w:space="0" w:color="auto"/>
        <w:right w:val="none" w:sz="0" w:space="0" w:color="auto"/>
      </w:divBdr>
    </w:div>
    <w:div w:id="1222056091">
      <w:bodyDiv w:val="1"/>
      <w:marLeft w:val="0"/>
      <w:marRight w:val="0"/>
      <w:marTop w:val="0"/>
      <w:marBottom w:val="0"/>
      <w:divBdr>
        <w:top w:val="none" w:sz="0" w:space="0" w:color="auto"/>
        <w:left w:val="none" w:sz="0" w:space="0" w:color="auto"/>
        <w:bottom w:val="none" w:sz="0" w:space="0" w:color="auto"/>
        <w:right w:val="none" w:sz="0" w:space="0" w:color="auto"/>
      </w:divBdr>
    </w:div>
    <w:div w:id="1268077154">
      <w:bodyDiv w:val="1"/>
      <w:marLeft w:val="0"/>
      <w:marRight w:val="0"/>
      <w:marTop w:val="0"/>
      <w:marBottom w:val="0"/>
      <w:divBdr>
        <w:top w:val="none" w:sz="0" w:space="0" w:color="auto"/>
        <w:left w:val="none" w:sz="0" w:space="0" w:color="auto"/>
        <w:bottom w:val="none" w:sz="0" w:space="0" w:color="auto"/>
        <w:right w:val="none" w:sz="0" w:space="0" w:color="auto"/>
      </w:divBdr>
    </w:div>
    <w:div w:id="1376083410">
      <w:bodyDiv w:val="1"/>
      <w:marLeft w:val="0"/>
      <w:marRight w:val="0"/>
      <w:marTop w:val="0"/>
      <w:marBottom w:val="0"/>
      <w:divBdr>
        <w:top w:val="none" w:sz="0" w:space="0" w:color="auto"/>
        <w:left w:val="none" w:sz="0" w:space="0" w:color="auto"/>
        <w:bottom w:val="none" w:sz="0" w:space="0" w:color="auto"/>
        <w:right w:val="none" w:sz="0" w:space="0" w:color="auto"/>
      </w:divBdr>
    </w:div>
    <w:div w:id="1483691805">
      <w:bodyDiv w:val="1"/>
      <w:marLeft w:val="0"/>
      <w:marRight w:val="0"/>
      <w:marTop w:val="0"/>
      <w:marBottom w:val="0"/>
      <w:divBdr>
        <w:top w:val="none" w:sz="0" w:space="0" w:color="auto"/>
        <w:left w:val="none" w:sz="0" w:space="0" w:color="auto"/>
        <w:bottom w:val="none" w:sz="0" w:space="0" w:color="auto"/>
        <w:right w:val="none" w:sz="0" w:space="0" w:color="auto"/>
      </w:divBdr>
    </w:div>
    <w:div w:id="1524786024">
      <w:bodyDiv w:val="1"/>
      <w:marLeft w:val="0"/>
      <w:marRight w:val="0"/>
      <w:marTop w:val="0"/>
      <w:marBottom w:val="0"/>
      <w:divBdr>
        <w:top w:val="none" w:sz="0" w:space="0" w:color="auto"/>
        <w:left w:val="none" w:sz="0" w:space="0" w:color="auto"/>
        <w:bottom w:val="none" w:sz="0" w:space="0" w:color="auto"/>
        <w:right w:val="none" w:sz="0" w:space="0" w:color="auto"/>
      </w:divBdr>
    </w:div>
    <w:div w:id="1536766920">
      <w:bodyDiv w:val="1"/>
      <w:marLeft w:val="0"/>
      <w:marRight w:val="0"/>
      <w:marTop w:val="0"/>
      <w:marBottom w:val="0"/>
      <w:divBdr>
        <w:top w:val="none" w:sz="0" w:space="0" w:color="auto"/>
        <w:left w:val="none" w:sz="0" w:space="0" w:color="auto"/>
        <w:bottom w:val="none" w:sz="0" w:space="0" w:color="auto"/>
        <w:right w:val="none" w:sz="0" w:space="0" w:color="auto"/>
      </w:divBdr>
    </w:div>
    <w:div w:id="1563642012">
      <w:bodyDiv w:val="1"/>
      <w:marLeft w:val="0"/>
      <w:marRight w:val="0"/>
      <w:marTop w:val="0"/>
      <w:marBottom w:val="0"/>
      <w:divBdr>
        <w:top w:val="none" w:sz="0" w:space="0" w:color="auto"/>
        <w:left w:val="none" w:sz="0" w:space="0" w:color="auto"/>
        <w:bottom w:val="none" w:sz="0" w:space="0" w:color="auto"/>
        <w:right w:val="none" w:sz="0" w:space="0" w:color="auto"/>
      </w:divBdr>
    </w:div>
    <w:div w:id="1567106386">
      <w:bodyDiv w:val="1"/>
      <w:marLeft w:val="0"/>
      <w:marRight w:val="0"/>
      <w:marTop w:val="0"/>
      <w:marBottom w:val="0"/>
      <w:divBdr>
        <w:top w:val="none" w:sz="0" w:space="0" w:color="auto"/>
        <w:left w:val="none" w:sz="0" w:space="0" w:color="auto"/>
        <w:bottom w:val="none" w:sz="0" w:space="0" w:color="auto"/>
        <w:right w:val="none" w:sz="0" w:space="0" w:color="auto"/>
      </w:divBdr>
    </w:div>
    <w:div w:id="2021393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seignement.be/download.php?do_id=1592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seignement.be/ce1d" TargetMode="External"/><Relationship Id="rId4" Type="http://schemas.openxmlformats.org/officeDocument/2006/relationships/settings" Target="settings.xml"/><Relationship Id="rId9" Type="http://schemas.openxmlformats.org/officeDocument/2006/relationships/hyperlink" Target="http://enseignement.be/index.php?page=28025&amp;navi=4500"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enseignement.be/ce1d"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enseignement.be/download.php?do_id=15922" TargetMode="External"/><Relationship Id="rId2" Type="http://schemas.openxmlformats.org/officeDocument/2006/relationships/hyperlink" Target="http://enseignement.be/download.php?do_id=15922" TargetMode="External"/><Relationship Id="rId1" Type="http://schemas.openxmlformats.org/officeDocument/2006/relationships/hyperlink" Target="http://enseignement.be/ce1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FD74F-4C59-4ED9-85C6-F64FC09C4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1862</Words>
  <Characters>10474</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12312</CharactersWithSpaces>
  <SharedDoc>false</SharedDoc>
  <HLinks>
    <vt:vector size="276" baseType="variant">
      <vt:variant>
        <vt:i4>3080273</vt:i4>
      </vt:variant>
      <vt:variant>
        <vt:i4>204</vt:i4>
      </vt:variant>
      <vt:variant>
        <vt:i4>0</vt:i4>
      </vt:variant>
      <vt:variant>
        <vt:i4>5</vt:i4>
      </vt:variant>
      <vt:variant>
        <vt:lpwstr>mailto:bruxelles.resultats@cfwb.be</vt:lpwstr>
      </vt:variant>
      <vt:variant>
        <vt:lpwstr/>
      </vt:variant>
      <vt:variant>
        <vt:i4>3342406</vt:i4>
      </vt:variant>
      <vt:variant>
        <vt:i4>201</vt:i4>
      </vt:variant>
      <vt:variant>
        <vt:i4>0</vt:i4>
      </vt:variant>
      <vt:variant>
        <vt:i4>5</vt:i4>
      </vt:variant>
      <vt:variant>
        <vt:lpwstr>mailto:namur.resultats@cfwb.be</vt:lpwstr>
      </vt:variant>
      <vt:variant>
        <vt:lpwstr/>
      </vt:variant>
      <vt:variant>
        <vt:i4>1572984</vt:i4>
      </vt:variant>
      <vt:variant>
        <vt:i4>198</vt:i4>
      </vt:variant>
      <vt:variant>
        <vt:i4>0</vt:i4>
      </vt:variant>
      <vt:variant>
        <vt:i4>5</vt:i4>
      </vt:variant>
      <vt:variant>
        <vt:lpwstr>mailto:bw.resultats@cfwb.be</vt:lpwstr>
      </vt:variant>
      <vt:variant>
        <vt:lpwstr/>
      </vt:variant>
      <vt:variant>
        <vt:i4>1966191</vt:i4>
      </vt:variant>
      <vt:variant>
        <vt:i4>195</vt:i4>
      </vt:variant>
      <vt:variant>
        <vt:i4>0</vt:i4>
      </vt:variant>
      <vt:variant>
        <vt:i4>5</vt:i4>
      </vt:variant>
      <vt:variant>
        <vt:lpwstr>mailto:luxembourg.resultats@cfwb.be</vt:lpwstr>
      </vt:variant>
      <vt:variant>
        <vt:lpwstr/>
      </vt:variant>
      <vt:variant>
        <vt:i4>3014748</vt:i4>
      </vt:variant>
      <vt:variant>
        <vt:i4>192</vt:i4>
      </vt:variant>
      <vt:variant>
        <vt:i4>0</vt:i4>
      </vt:variant>
      <vt:variant>
        <vt:i4>5</vt:i4>
      </vt:variant>
      <vt:variant>
        <vt:lpwstr>mailto:liege.resultats@cfwb.be</vt:lpwstr>
      </vt:variant>
      <vt:variant>
        <vt:lpwstr/>
      </vt:variant>
      <vt:variant>
        <vt:i4>5636136</vt:i4>
      </vt:variant>
      <vt:variant>
        <vt:i4>189</vt:i4>
      </vt:variant>
      <vt:variant>
        <vt:i4>0</vt:i4>
      </vt:variant>
      <vt:variant>
        <vt:i4>5</vt:i4>
      </vt:variant>
      <vt:variant>
        <vt:lpwstr>mailto:hainaut.resultats@cfwb.be</vt:lpwstr>
      </vt:variant>
      <vt:variant>
        <vt:lpwstr/>
      </vt:variant>
      <vt:variant>
        <vt:i4>2883653</vt:i4>
      </vt:variant>
      <vt:variant>
        <vt:i4>186</vt:i4>
      </vt:variant>
      <vt:variant>
        <vt:i4>0</vt:i4>
      </vt:variant>
      <vt:variant>
        <vt:i4>5</vt:i4>
      </vt:variant>
      <vt:variant>
        <vt:lpwstr>mailto:ecxxxxx@adm.cfwb.be</vt:lpwstr>
      </vt:variant>
      <vt:variant>
        <vt:lpwstr/>
      </vt:variant>
      <vt:variant>
        <vt:i4>5963810</vt:i4>
      </vt:variant>
      <vt:variant>
        <vt:i4>183</vt:i4>
      </vt:variant>
      <vt:variant>
        <vt:i4>0</vt:i4>
      </vt:variant>
      <vt:variant>
        <vt:i4>5</vt:i4>
      </vt:variant>
      <vt:variant>
        <vt:lpwstr>mailto:evaluations.externes@cfwb.be</vt:lpwstr>
      </vt:variant>
      <vt:variant>
        <vt:lpwstr/>
      </vt:variant>
      <vt:variant>
        <vt:i4>5963810</vt:i4>
      </vt:variant>
      <vt:variant>
        <vt:i4>180</vt:i4>
      </vt:variant>
      <vt:variant>
        <vt:i4>0</vt:i4>
      </vt:variant>
      <vt:variant>
        <vt:i4>5</vt:i4>
      </vt:variant>
      <vt:variant>
        <vt:lpwstr>mailto:evaluations.externes@cfwb.be</vt:lpwstr>
      </vt:variant>
      <vt:variant>
        <vt:lpwstr/>
      </vt:variant>
      <vt:variant>
        <vt:i4>5963810</vt:i4>
      </vt:variant>
      <vt:variant>
        <vt:i4>177</vt:i4>
      </vt:variant>
      <vt:variant>
        <vt:i4>0</vt:i4>
      </vt:variant>
      <vt:variant>
        <vt:i4>5</vt:i4>
      </vt:variant>
      <vt:variant>
        <vt:lpwstr>mailto:evaluations.externes@cfwb.be</vt:lpwstr>
      </vt:variant>
      <vt:variant>
        <vt:lpwstr/>
      </vt:variant>
      <vt:variant>
        <vt:i4>5963810</vt:i4>
      </vt:variant>
      <vt:variant>
        <vt:i4>174</vt:i4>
      </vt:variant>
      <vt:variant>
        <vt:i4>0</vt:i4>
      </vt:variant>
      <vt:variant>
        <vt:i4>5</vt:i4>
      </vt:variant>
      <vt:variant>
        <vt:lpwstr>mailto:evaluations.externes@cfwb.be</vt:lpwstr>
      </vt:variant>
      <vt:variant>
        <vt:lpwstr/>
      </vt:variant>
      <vt:variant>
        <vt:i4>6422624</vt:i4>
      </vt:variant>
      <vt:variant>
        <vt:i4>171</vt:i4>
      </vt:variant>
      <vt:variant>
        <vt:i4>0</vt:i4>
      </vt:variant>
      <vt:variant>
        <vt:i4>5</vt:i4>
      </vt:variant>
      <vt:variant>
        <vt:lpwstr>http://www.enseignement.be/cess</vt:lpwstr>
      </vt:variant>
      <vt:variant>
        <vt:lpwstr/>
      </vt:variant>
      <vt:variant>
        <vt:i4>6422624</vt:i4>
      </vt:variant>
      <vt:variant>
        <vt:i4>168</vt:i4>
      </vt:variant>
      <vt:variant>
        <vt:i4>0</vt:i4>
      </vt:variant>
      <vt:variant>
        <vt:i4>5</vt:i4>
      </vt:variant>
      <vt:variant>
        <vt:lpwstr>http://www.enseignement.be/cess</vt:lpwstr>
      </vt:variant>
      <vt:variant>
        <vt:lpwstr/>
      </vt:variant>
      <vt:variant>
        <vt:i4>6422624</vt:i4>
      </vt:variant>
      <vt:variant>
        <vt:i4>165</vt:i4>
      </vt:variant>
      <vt:variant>
        <vt:i4>0</vt:i4>
      </vt:variant>
      <vt:variant>
        <vt:i4>5</vt:i4>
      </vt:variant>
      <vt:variant>
        <vt:lpwstr>http://www.enseignement.be/cess</vt:lpwstr>
      </vt:variant>
      <vt:variant>
        <vt:lpwstr/>
      </vt:variant>
      <vt:variant>
        <vt:i4>6422624</vt:i4>
      </vt:variant>
      <vt:variant>
        <vt:i4>162</vt:i4>
      </vt:variant>
      <vt:variant>
        <vt:i4>0</vt:i4>
      </vt:variant>
      <vt:variant>
        <vt:i4>5</vt:i4>
      </vt:variant>
      <vt:variant>
        <vt:lpwstr>http://www.enseignement.be/cess</vt:lpwstr>
      </vt:variant>
      <vt:variant>
        <vt:lpwstr/>
      </vt:variant>
      <vt:variant>
        <vt:i4>5963810</vt:i4>
      </vt:variant>
      <vt:variant>
        <vt:i4>159</vt:i4>
      </vt:variant>
      <vt:variant>
        <vt:i4>0</vt:i4>
      </vt:variant>
      <vt:variant>
        <vt:i4>5</vt:i4>
      </vt:variant>
      <vt:variant>
        <vt:lpwstr>mailto:evaluations.externes@cfwb.be</vt:lpwstr>
      </vt:variant>
      <vt:variant>
        <vt:lpwstr/>
      </vt:variant>
      <vt:variant>
        <vt:i4>5963810</vt:i4>
      </vt:variant>
      <vt:variant>
        <vt:i4>156</vt:i4>
      </vt:variant>
      <vt:variant>
        <vt:i4>0</vt:i4>
      </vt:variant>
      <vt:variant>
        <vt:i4>5</vt:i4>
      </vt:variant>
      <vt:variant>
        <vt:lpwstr>mailto:evaluations.externes@cfwb.be</vt:lpwstr>
      </vt:variant>
      <vt:variant>
        <vt:lpwstr/>
      </vt:variant>
      <vt:variant>
        <vt:i4>5963810</vt:i4>
      </vt:variant>
      <vt:variant>
        <vt:i4>153</vt:i4>
      </vt:variant>
      <vt:variant>
        <vt:i4>0</vt:i4>
      </vt:variant>
      <vt:variant>
        <vt:i4>5</vt:i4>
      </vt:variant>
      <vt:variant>
        <vt:lpwstr>mailto:evaluations.externes@cfwb.be</vt:lpwstr>
      </vt:variant>
      <vt:variant>
        <vt:lpwstr/>
      </vt:variant>
      <vt:variant>
        <vt:i4>5963810</vt:i4>
      </vt:variant>
      <vt:variant>
        <vt:i4>150</vt:i4>
      </vt:variant>
      <vt:variant>
        <vt:i4>0</vt:i4>
      </vt:variant>
      <vt:variant>
        <vt:i4>5</vt:i4>
      </vt:variant>
      <vt:variant>
        <vt:lpwstr>mailto:evaluations.externes@cfwb.be</vt:lpwstr>
      </vt:variant>
      <vt:variant>
        <vt:lpwstr/>
      </vt:variant>
      <vt:variant>
        <vt:i4>2097248</vt:i4>
      </vt:variant>
      <vt:variant>
        <vt:i4>147</vt:i4>
      </vt:variant>
      <vt:variant>
        <vt:i4>0</vt:i4>
      </vt:variant>
      <vt:variant>
        <vt:i4>5</vt:i4>
      </vt:variant>
      <vt:variant>
        <vt:lpwstr>http://www.enseignement.be/ce1d</vt:lpwstr>
      </vt:variant>
      <vt:variant>
        <vt:lpwstr/>
      </vt:variant>
      <vt:variant>
        <vt:i4>2097248</vt:i4>
      </vt:variant>
      <vt:variant>
        <vt:i4>144</vt:i4>
      </vt:variant>
      <vt:variant>
        <vt:i4>0</vt:i4>
      </vt:variant>
      <vt:variant>
        <vt:i4>5</vt:i4>
      </vt:variant>
      <vt:variant>
        <vt:lpwstr>http://www.enseignement.be/ce1d</vt:lpwstr>
      </vt:variant>
      <vt:variant>
        <vt:lpwstr/>
      </vt:variant>
      <vt:variant>
        <vt:i4>2097248</vt:i4>
      </vt:variant>
      <vt:variant>
        <vt:i4>141</vt:i4>
      </vt:variant>
      <vt:variant>
        <vt:i4>0</vt:i4>
      </vt:variant>
      <vt:variant>
        <vt:i4>5</vt:i4>
      </vt:variant>
      <vt:variant>
        <vt:lpwstr>http://www.enseignement.be/ce1d</vt:lpwstr>
      </vt:variant>
      <vt:variant>
        <vt:lpwstr/>
      </vt:variant>
      <vt:variant>
        <vt:i4>5963810</vt:i4>
      </vt:variant>
      <vt:variant>
        <vt:i4>138</vt:i4>
      </vt:variant>
      <vt:variant>
        <vt:i4>0</vt:i4>
      </vt:variant>
      <vt:variant>
        <vt:i4>5</vt:i4>
      </vt:variant>
      <vt:variant>
        <vt:lpwstr>mailto:evaluations.externes@cfwb.be</vt:lpwstr>
      </vt:variant>
      <vt:variant>
        <vt:lpwstr/>
      </vt:variant>
      <vt:variant>
        <vt:i4>5963810</vt:i4>
      </vt:variant>
      <vt:variant>
        <vt:i4>135</vt:i4>
      </vt:variant>
      <vt:variant>
        <vt:i4>0</vt:i4>
      </vt:variant>
      <vt:variant>
        <vt:i4>5</vt:i4>
      </vt:variant>
      <vt:variant>
        <vt:lpwstr>mailto:evaluations.externes@cfwb.be</vt:lpwstr>
      </vt:variant>
      <vt:variant>
        <vt:lpwstr/>
      </vt:variant>
      <vt:variant>
        <vt:i4>2031670</vt:i4>
      </vt:variant>
      <vt:variant>
        <vt:i4>128</vt:i4>
      </vt:variant>
      <vt:variant>
        <vt:i4>0</vt:i4>
      </vt:variant>
      <vt:variant>
        <vt:i4>5</vt:i4>
      </vt:variant>
      <vt:variant>
        <vt:lpwstr/>
      </vt:variant>
      <vt:variant>
        <vt:lpwstr>_Toc31899545</vt:lpwstr>
      </vt:variant>
      <vt:variant>
        <vt:i4>1966134</vt:i4>
      </vt:variant>
      <vt:variant>
        <vt:i4>122</vt:i4>
      </vt:variant>
      <vt:variant>
        <vt:i4>0</vt:i4>
      </vt:variant>
      <vt:variant>
        <vt:i4>5</vt:i4>
      </vt:variant>
      <vt:variant>
        <vt:lpwstr/>
      </vt:variant>
      <vt:variant>
        <vt:lpwstr>_Toc31899544</vt:lpwstr>
      </vt:variant>
      <vt:variant>
        <vt:i4>1638454</vt:i4>
      </vt:variant>
      <vt:variant>
        <vt:i4>116</vt:i4>
      </vt:variant>
      <vt:variant>
        <vt:i4>0</vt:i4>
      </vt:variant>
      <vt:variant>
        <vt:i4>5</vt:i4>
      </vt:variant>
      <vt:variant>
        <vt:lpwstr/>
      </vt:variant>
      <vt:variant>
        <vt:lpwstr>_Toc31899543</vt:lpwstr>
      </vt:variant>
      <vt:variant>
        <vt:i4>1572918</vt:i4>
      </vt:variant>
      <vt:variant>
        <vt:i4>110</vt:i4>
      </vt:variant>
      <vt:variant>
        <vt:i4>0</vt:i4>
      </vt:variant>
      <vt:variant>
        <vt:i4>5</vt:i4>
      </vt:variant>
      <vt:variant>
        <vt:lpwstr/>
      </vt:variant>
      <vt:variant>
        <vt:lpwstr>_Toc31899542</vt:lpwstr>
      </vt:variant>
      <vt:variant>
        <vt:i4>1769526</vt:i4>
      </vt:variant>
      <vt:variant>
        <vt:i4>104</vt:i4>
      </vt:variant>
      <vt:variant>
        <vt:i4>0</vt:i4>
      </vt:variant>
      <vt:variant>
        <vt:i4>5</vt:i4>
      </vt:variant>
      <vt:variant>
        <vt:lpwstr/>
      </vt:variant>
      <vt:variant>
        <vt:lpwstr>_Toc31899541</vt:lpwstr>
      </vt:variant>
      <vt:variant>
        <vt:i4>1703990</vt:i4>
      </vt:variant>
      <vt:variant>
        <vt:i4>98</vt:i4>
      </vt:variant>
      <vt:variant>
        <vt:i4>0</vt:i4>
      </vt:variant>
      <vt:variant>
        <vt:i4>5</vt:i4>
      </vt:variant>
      <vt:variant>
        <vt:lpwstr/>
      </vt:variant>
      <vt:variant>
        <vt:lpwstr>_Toc31899540</vt:lpwstr>
      </vt:variant>
      <vt:variant>
        <vt:i4>1245233</vt:i4>
      </vt:variant>
      <vt:variant>
        <vt:i4>92</vt:i4>
      </vt:variant>
      <vt:variant>
        <vt:i4>0</vt:i4>
      </vt:variant>
      <vt:variant>
        <vt:i4>5</vt:i4>
      </vt:variant>
      <vt:variant>
        <vt:lpwstr/>
      </vt:variant>
      <vt:variant>
        <vt:lpwstr>_Toc31899539</vt:lpwstr>
      </vt:variant>
      <vt:variant>
        <vt:i4>1179697</vt:i4>
      </vt:variant>
      <vt:variant>
        <vt:i4>86</vt:i4>
      </vt:variant>
      <vt:variant>
        <vt:i4>0</vt:i4>
      </vt:variant>
      <vt:variant>
        <vt:i4>5</vt:i4>
      </vt:variant>
      <vt:variant>
        <vt:lpwstr/>
      </vt:variant>
      <vt:variant>
        <vt:lpwstr>_Toc31899538</vt:lpwstr>
      </vt:variant>
      <vt:variant>
        <vt:i4>1900593</vt:i4>
      </vt:variant>
      <vt:variant>
        <vt:i4>80</vt:i4>
      </vt:variant>
      <vt:variant>
        <vt:i4>0</vt:i4>
      </vt:variant>
      <vt:variant>
        <vt:i4>5</vt:i4>
      </vt:variant>
      <vt:variant>
        <vt:lpwstr/>
      </vt:variant>
      <vt:variant>
        <vt:lpwstr>_Toc31899537</vt:lpwstr>
      </vt:variant>
      <vt:variant>
        <vt:i4>1835057</vt:i4>
      </vt:variant>
      <vt:variant>
        <vt:i4>74</vt:i4>
      </vt:variant>
      <vt:variant>
        <vt:i4>0</vt:i4>
      </vt:variant>
      <vt:variant>
        <vt:i4>5</vt:i4>
      </vt:variant>
      <vt:variant>
        <vt:lpwstr/>
      </vt:variant>
      <vt:variant>
        <vt:lpwstr>_Toc31899536</vt:lpwstr>
      </vt:variant>
      <vt:variant>
        <vt:i4>2031665</vt:i4>
      </vt:variant>
      <vt:variant>
        <vt:i4>68</vt:i4>
      </vt:variant>
      <vt:variant>
        <vt:i4>0</vt:i4>
      </vt:variant>
      <vt:variant>
        <vt:i4>5</vt:i4>
      </vt:variant>
      <vt:variant>
        <vt:lpwstr/>
      </vt:variant>
      <vt:variant>
        <vt:lpwstr>_Toc31899535</vt:lpwstr>
      </vt:variant>
      <vt:variant>
        <vt:i4>1966129</vt:i4>
      </vt:variant>
      <vt:variant>
        <vt:i4>62</vt:i4>
      </vt:variant>
      <vt:variant>
        <vt:i4>0</vt:i4>
      </vt:variant>
      <vt:variant>
        <vt:i4>5</vt:i4>
      </vt:variant>
      <vt:variant>
        <vt:lpwstr/>
      </vt:variant>
      <vt:variant>
        <vt:lpwstr>_Toc31899534</vt:lpwstr>
      </vt:variant>
      <vt:variant>
        <vt:i4>1638449</vt:i4>
      </vt:variant>
      <vt:variant>
        <vt:i4>56</vt:i4>
      </vt:variant>
      <vt:variant>
        <vt:i4>0</vt:i4>
      </vt:variant>
      <vt:variant>
        <vt:i4>5</vt:i4>
      </vt:variant>
      <vt:variant>
        <vt:lpwstr/>
      </vt:variant>
      <vt:variant>
        <vt:lpwstr>_Toc31899533</vt:lpwstr>
      </vt:variant>
      <vt:variant>
        <vt:i4>1572913</vt:i4>
      </vt:variant>
      <vt:variant>
        <vt:i4>50</vt:i4>
      </vt:variant>
      <vt:variant>
        <vt:i4>0</vt:i4>
      </vt:variant>
      <vt:variant>
        <vt:i4>5</vt:i4>
      </vt:variant>
      <vt:variant>
        <vt:lpwstr/>
      </vt:variant>
      <vt:variant>
        <vt:lpwstr>_Toc31899532</vt:lpwstr>
      </vt:variant>
      <vt:variant>
        <vt:i4>1769521</vt:i4>
      </vt:variant>
      <vt:variant>
        <vt:i4>44</vt:i4>
      </vt:variant>
      <vt:variant>
        <vt:i4>0</vt:i4>
      </vt:variant>
      <vt:variant>
        <vt:i4>5</vt:i4>
      </vt:variant>
      <vt:variant>
        <vt:lpwstr/>
      </vt:variant>
      <vt:variant>
        <vt:lpwstr>_Toc31899531</vt:lpwstr>
      </vt:variant>
      <vt:variant>
        <vt:i4>1703985</vt:i4>
      </vt:variant>
      <vt:variant>
        <vt:i4>38</vt:i4>
      </vt:variant>
      <vt:variant>
        <vt:i4>0</vt:i4>
      </vt:variant>
      <vt:variant>
        <vt:i4>5</vt:i4>
      </vt:variant>
      <vt:variant>
        <vt:lpwstr/>
      </vt:variant>
      <vt:variant>
        <vt:lpwstr>_Toc31899530</vt:lpwstr>
      </vt:variant>
      <vt:variant>
        <vt:i4>1245232</vt:i4>
      </vt:variant>
      <vt:variant>
        <vt:i4>32</vt:i4>
      </vt:variant>
      <vt:variant>
        <vt:i4>0</vt:i4>
      </vt:variant>
      <vt:variant>
        <vt:i4>5</vt:i4>
      </vt:variant>
      <vt:variant>
        <vt:lpwstr/>
      </vt:variant>
      <vt:variant>
        <vt:lpwstr>_Toc31899529</vt:lpwstr>
      </vt:variant>
      <vt:variant>
        <vt:i4>1179696</vt:i4>
      </vt:variant>
      <vt:variant>
        <vt:i4>26</vt:i4>
      </vt:variant>
      <vt:variant>
        <vt:i4>0</vt:i4>
      </vt:variant>
      <vt:variant>
        <vt:i4>5</vt:i4>
      </vt:variant>
      <vt:variant>
        <vt:lpwstr/>
      </vt:variant>
      <vt:variant>
        <vt:lpwstr>_Toc31899528</vt:lpwstr>
      </vt:variant>
      <vt:variant>
        <vt:i4>1900592</vt:i4>
      </vt:variant>
      <vt:variant>
        <vt:i4>20</vt:i4>
      </vt:variant>
      <vt:variant>
        <vt:i4>0</vt:i4>
      </vt:variant>
      <vt:variant>
        <vt:i4>5</vt:i4>
      </vt:variant>
      <vt:variant>
        <vt:lpwstr/>
      </vt:variant>
      <vt:variant>
        <vt:lpwstr>_Toc31899527</vt:lpwstr>
      </vt:variant>
      <vt:variant>
        <vt:i4>1835056</vt:i4>
      </vt:variant>
      <vt:variant>
        <vt:i4>14</vt:i4>
      </vt:variant>
      <vt:variant>
        <vt:i4>0</vt:i4>
      </vt:variant>
      <vt:variant>
        <vt:i4>5</vt:i4>
      </vt:variant>
      <vt:variant>
        <vt:lpwstr/>
      </vt:variant>
      <vt:variant>
        <vt:lpwstr>_Toc31899526</vt:lpwstr>
      </vt:variant>
      <vt:variant>
        <vt:i4>2031664</vt:i4>
      </vt:variant>
      <vt:variant>
        <vt:i4>8</vt:i4>
      </vt:variant>
      <vt:variant>
        <vt:i4>0</vt:i4>
      </vt:variant>
      <vt:variant>
        <vt:i4>5</vt:i4>
      </vt:variant>
      <vt:variant>
        <vt:lpwstr/>
      </vt:variant>
      <vt:variant>
        <vt:lpwstr>_Toc31899525</vt:lpwstr>
      </vt:variant>
      <vt:variant>
        <vt:i4>1966128</vt:i4>
      </vt:variant>
      <vt:variant>
        <vt:i4>2</vt:i4>
      </vt:variant>
      <vt:variant>
        <vt:i4>0</vt:i4>
      </vt:variant>
      <vt:variant>
        <vt:i4>5</vt:i4>
      </vt:variant>
      <vt:variant>
        <vt:lpwstr/>
      </vt:variant>
      <vt:variant>
        <vt:lpwstr>_Toc31899524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DI EMIDIO Samuel</cp:lastModifiedBy>
  <cp:revision>18</cp:revision>
  <cp:lastPrinted>2020-02-06T12:38:00Z</cp:lastPrinted>
  <dcterms:created xsi:type="dcterms:W3CDTF">2021-01-18T14:38:00Z</dcterms:created>
  <dcterms:modified xsi:type="dcterms:W3CDTF">2021-02-15T12:54:00Z</dcterms:modified>
</cp:coreProperties>
</file>